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165" w:rsidRPr="006C5648" w:rsidRDefault="00FB37E8" w:rsidP="00BF2165">
      <w:pPr>
        <w:jc w:val="center"/>
        <w:rPr>
          <w:rFonts w:ascii="Arial" w:hAnsi="Arial" w:cs="Arial"/>
          <w:b/>
          <w:sz w:val="20"/>
          <w:szCs w:val="20"/>
        </w:rPr>
      </w:pPr>
      <w:r>
        <w:rPr>
          <w:rFonts w:ascii="Arial" w:hAnsi="Arial" w:cs="Arial"/>
          <w:b/>
          <w:sz w:val="20"/>
          <w:szCs w:val="20"/>
        </w:rPr>
        <w:t>Certified Credit Professional</w:t>
      </w:r>
    </w:p>
    <w:p w:rsidR="00BF2165" w:rsidRPr="006C5648" w:rsidRDefault="00BF2165" w:rsidP="00BF2165">
      <w:pPr>
        <w:jc w:val="center"/>
        <w:rPr>
          <w:rFonts w:ascii="Arial" w:hAnsi="Arial" w:cs="Arial"/>
          <w:sz w:val="20"/>
          <w:szCs w:val="20"/>
        </w:rPr>
      </w:pPr>
    </w:p>
    <w:tbl>
      <w:tblPr>
        <w:tblStyle w:val="TableGrid"/>
        <w:tblW w:w="0" w:type="auto"/>
        <w:tblInd w:w="0" w:type="dxa"/>
        <w:tblLook w:val="04A0" w:firstRow="1" w:lastRow="0" w:firstColumn="1" w:lastColumn="0" w:noHBand="0" w:noVBand="1"/>
      </w:tblPr>
      <w:tblGrid>
        <w:gridCol w:w="846"/>
        <w:gridCol w:w="8170"/>
      </w:tblGrid>
      <w:tr w:rsidR="00BF2165" w:rsidRPr="006C5648" w:rsidTr="00BF2165">
        <w:tc>
          <w:tcPr>
            <w:tcW w:w="846" w:type="dxa"/>
            <w:tcBorders>
              <w:top w:val="single" w:sz="4" w:space="0" w:color="auto"/>
              <w:left w:val="single" w:sz="4" w:space="0" w:color="auto"/>
              <w:bottom w:val="single" w:sz="4" w:space="0" w:color="auto"/>
              <w:right w:val="single" w:sz="4" w:space="0" w:color="auto"/>
            </w:tcBorders>
            <w:hideMark/>
          </w:tcPr>
          <w:p w:rsidR="00BF2165" w:rsidRPr="006C5648" w:rsidRDefault="00BF2165">
            <w:pPr>
              <w:spacing w:line="240" w:lineRule="auto"/>
              <w:jc w:val="center"/>
              <w:rPr>
                <w:rFonts w:ascii="Arial" w:hAnsi="Arial" w:cs="Arial"/>
                <w:b/>
                <w:sz w:val="20"/>
                <w:szCs w:val="20"/>
              </w:rPr>
            </w:pPr>
            <w:proofErr w:type="spellStart"/>
            <w:r w:rsidRPr="006C5648">
              <w:rPr>
                <w:rFonts w:ascii="Arial" w:hAnsi="Arial" w:cs="Arial"/>
                <w:b/>
                <w:sz w:val="20"/>
                <w:szCs w:val="20"/>
              </w:rPr>
              <w:t>S.No</w:t>
            </w:r>
            <w:proofErr w:type="spellEnd"/>
            <w:r w:rsidRPr="006C5648">
              <w:rPr>
                <w:rFonts w:ascii="Arial" w:hAnsi="Arial" w:cs="Arial"/>
                <w:b/>
                <w:sz w:val="20"/>
                <w:szCs w:val="20"/>
              </w:rPr>
              <w:t>.</w:t>
            </w:r>
          </w:p>
        </w:tc>
        <w:tc>
          <w:tcPr>
            <w:tcW w:w="8170" w:type="dxa"/>
            <w:tcBorders>
              <w:top w:val="single" w:sz="4" w:space="0" w:color="auto"/>
              <w:left w:val="single" w:sz="4" w:space="0" w:color="auto"/>
              <w:bottom w:val="single" w:sz="4" w:space="0" w:color="auto"/>
              <w:right w:val="single" w:sz="4" w:space="0" w:color="auto"/>
            </w:tcBorders>
            <w:hideMark/>
          </w:tcPr>
          <w:p w:rsidR="00BF2165" w:rsidRPr="006C5648" w:rsidRDefault="00BF2165">
            <w:pPr>
              <w:spacing w:line="240" w:lineRule="auto"/>
              <w:jc w:val="center"/>
              <w:rPr>
                <w:rFonts w:ascii="Arial" w:hAnsi="Arial" w:cs="Arial"/>
                <w:b/>
                <w:sz w:val="20"/>
                <w:szCs w:val="20"/>
              </w:rPr>
            </w:pPr>
            <w:r w:rsidRPr="006C5648">
              <w:rPr>
                <w:rFonts w:ascii="Arial" w:hAnsi="Arial" w:cs="Arial"/>
                <w:b/>
                <w:sz w:val="20"/>
                <w:szCs w:val="20"/>
              </w:rPr>
              <w:t>RBI Notification</w:t>
            </w:r>
          </w:p>
        </w:tc>
      </w:tr>
      <w:tr w:rsidR="00155008" w:rsidRPr="006C5648" w:rsidTr="00066AD4">
        <w:tc>
          <w:tcPr>
            <w:tcW w:w="846" w:type="dxa"/>
            <w:tcBorders>
              <w:top w:val="single" w:sz="4" w:space="0" w:color="auto"/>
              <w:left w:val="single" w:sz="4" w:space="0" w:color="auto"/>
              <w:bottom w:val="single" w:sz="4" w:space="0" w:color="auto"/>
              <w:right w:val="single" w:sz="4" w:space="0" w:color="auto"/>
            </w:tcBorders>
          </w:tcPr>
          <w:p w:rsidR="00155008" w:rsidRPr="006C5648" w:rsidRDefault="00155008"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155008" w:rsidRPr="00494F1F" w:rsidRDefault="005748AD" w:rsidP="00155008">
            <w:pPr>
              <w:spacing w:line="240" w:lineRule="auto"/>
              <w:jc w:val="both"/>
              <w:rPr>
                <w:rFonts w:ascii="Calibri" w:hAnsi="Calibri" w:cs="Calibri"/>
                <w:color w:val="000000"/>
                <w:sz w:val="20"/>
                <w:szCs w:val="20"/>
              </w:rPr>
            </w:pPr>
            <w:r w:rsidRPr="00494F1F">
              <w:rPr>
                <w:rFonts w:ascii="Calibri" w:hAnsi="Calibri" w:cs="Calibri"/>
                <w:color w:val="000000"/>
                <w:sz w:val="20"/>
                <w:szCs w:val="20"/>
              </w:rPr>
              <w:t>Board approved Loan Policy – Management of Advances – UCBs</w:t>
            </w:r>
          </w:p>
        </w:tc>
      </w:tr>
      <w:tr w:rsidR="00155008" w:rsidRPr="006C5648" w:rsidTr="00066AD4">
        <w:tc>
          <w:tcPr>
            <w:tcW w:w="846" w:type="dxa"/>
            <w:tcBorders>
              <w:top w:val="single" w:sz="4" w:space="0" w:color="auto"/>
              <w:left w:val="single" w:sz="4" w:space="0" w:color="auto"/>
              <w:bottom w:val="single" w:sz="4" w:space="0" w:color="auto"/>
              <w:right w:val="single" w:sz="4" w:space="0" w:color="auto"/>
            </w:tcBorders>
          </w:tcPr>
          <w:p w:rsidR="00155008" w:rsidRPr="006C5648" w:rsidRDefault="00155008"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155008" w:rsidRPr="00494F1F" w:rsidRDefault="005748AD" w:rsidP="00155008">
            <w:pPr>
              <w:spacing w:line="240" w:lineRule="auto"/>
              <w:jc w:val="both"/>
              <w:rPr>
                <w:rFonts w:ascii="Calibri" w:hAnsi="Calibri" w:cs="Calibri"/>
                <w:color w:val="000000"/>
                <w:sz w:val="20"/>
                <w:szCs w:val="20"/>
              </w:rPr>
            </w:pPr>
            <w:r w:rsidRPr="00494F1F">
              <w:rPr>
                <w:rFonts w:ascii="Calibri" w:hAnsi="Calibri" w:cs="Calibri"/>
                <w:color w:val="000000"/>
                <w:sz w:val="20"/>
                <w:szCs w:val="20"/>
              </w:rPr>
              <w:t>Foreign Exchange Management (Borrowing and Lending) (Amendment) Regulations, 2022</w:t>
            </w:r>
          </w:p>
        </w:tc>
      </w:tr>
      <w:tr w:rsidR="00155008" w:rsidRPr="006C5648" w:rsidTr="00066AD4">
        <w:tc>
          <w:tcPr>
            <w:tcW w:w="846" w:type="dxa"/>
            <w:tcBorders>
              <w:top w:val="single" w:sz="4" w:space="0" w:color="auto"/>
              <w:left w:val="single" w:sz="4" w:space="0" w:color="auto"/>
              <w:bottom w:val="single" w:sz="4" w:space="0" w:color="auto"/>
              <w:right w:val="single" w:sz="4" w:space="0" w:color="auto"/>
            </w:tcBorders>
          </w:tcPr>
          <w:p w:rsidR="00155008" w:rsidRPr="006C5648" w:rsidRDefault="00155008"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155008" w:rsidRPr="00494F1F" w:rsidRDefault="005748AD" w:rsidP="00155008">
            <w:pPr>
              <w:spacing w:line="240" w:lineRule="auto"/>
              <w:jc w:val="both"/>
              <w:rPr>
                <w:rFonts w:ascii="Calibri" w:hAnsi="Calibri" w:cs="Calibri"/>
                <w:color w:val="000000"/>
                <w:sz w:val="20"/>
                <w:szCs w:val="20"/>
              </w:rPr>
            </w:pPr>
            <w:r w:rsidRPr="00494F1F">
              <w:rPr>
                <w:rFonts w:ascii="Calibri" w:hAnsi="Calibri" w:cs="Calibri"/>
                <w:color w:val="000000"/>
                <w:sz w:val="20"/>
                <w:szCs w:val="20"/>
              </w:rPr>
              <w:t>Master Circular - Credit facilities to Scheduled Castes (SCs) &amp; Scheduled Tribes (STs)</w:t>
            </w:r>
          </w:p>
        </w:tc>
      </w:tr>
      <w:tr w:rsidR="00155008" w:rsidRPr="006C5648" w:rsidTr="00066AD4">
        <w:tc>
          <w:tcPr>
            <w:tcW w:w="846" w:type="dxa"/>
            <w:tcBorders>
              <w:top w:val="single" w:sz="4" w:space="0" w:color="auto"/>
              <w:left w:val="single" w:sz="4" w:space="0" w:color="auto"/>
              <w:bottom w:val="single" w:sz="4" w:space="0" w:color="auto"/>
              <w:right w:val="single" w:sz="4" w:space="0" w:color="auto"/>
            </w:tcBorders>
          </w:tcPr>
          <w:p w:rsidR="00155008" w:rsidRPr="006C5648" w:rsidRDefault="00155008"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155008" w:rsidRPr="00494F1F" w:rsidRDefault="005748AD" w:rsidP="00155008">
            <w:pPr>
              <w:spacing w:line="240" w:lineRule="auto"/>
              <w:jc w:val="both"/>
              <w:rPr>
                <w:rFonts w:ascii="Calibri" w:hAnsi="Calibri" w:cs="Calibri"/>
                <w:color w:val="000000"/>
                <w:sz w:val="20"/>
                <w:szCs w:val="20"/>
              </w:rPr>
            </w:pPr>
            <w:r w:rsidRPr="00494F1F">
              <w:rPr>
                <w:rFonts w:ascii="Calibri" w:hAnsi="Calibri" w:cs="Calibri"/>
                <w:color w:val="000000"/>
                <w:sz w:val="20"/>
                <w:szCs w:val="20"/>
              </w:rPr>
              <w:t>External Commercial Borrowings (ECB) Policy – Liberalisation Measures</w:t>
            </w:r>
          </w:p>
        </w:tc>
      </w:tr>
      <w:tr w:rsidR="00155008" w:rsidRPr="006C5648" w:rsidTr="00066AD4">
        <w:tc>
          <w:tcPr>
            <w:tcW w:w="846" w:type="dxa"/>
            <w:tcBorders>
              <w:top w:val="single" w:sz="4" w:space="0" w:color="auto"/>
              <w:left w:val="single" w:sz="4" w:space="0" w:color="auto"/>
              <w:bottom w:val="single" w:sz="4" w:space="0" w:color="auto"/>
              <w:right w:val="single" w:sz="4" w:space="0" w:color="auto"/>
            </w:tcBorders>
          </w:tcPr>
          <w:p w:rsidR="00155008" w:rsidRPr="006C5648" w:rsidRDefault="00155008"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155008" w:rsidRPr="00494F1F" w:rsidRDefault="005748AD" w:rsidP="00155008">
            <w:pPr>
              <w:spacing w:line="240" w:lineRule="auto"/>
              <w:jc w:val="both"/>
              <w:rPr>
                <w:rFonts w:ascii="Calibri" w:hAnsi="Calibri" w:cs="Calibri"/>
                <w:color w:val="000000"/>
                <w:sz w:val="20"/>
                <w:szCs w:val="20"/>
              </w:rPr>
            </w:pPr>
            <w:r w:rsidRPr="00494F1F">
              <w:rPr>
                <w:rFonts w:ascii="Calibri" w:hAnsi="Calibri" w:cs="Calibri"/>
                <w:color w:val="000000"/>
                <w:sz w:val="20"/>
                <w:szCs w:val="20"/>
              </w:rPr>
              <w:t>Master Circular on Credit Facilities to Minority Communities</w:t>
            </w:r>
          </w:p>
        </w:tc>
      </w:tr>
      <w:tr w:rsidR="00494F1F" w:rsidRPr="006C5648" w:rsidTr="00066AD4">
        <w:tc>
          <w:tcPr>
            <w:tcW w:w="846" w:type="dxa"/>
            <w:tcBorders>
              <w:top w:val="single" w:sz="4" w:space="0" w:color="auto"/>
              <w:left w:val="single" w:sz="4" w:space="0" w:color="auto"/>
              <w:bottom w:val="single" w:sz="4" w:space="0" w:color="auto"/>
              <w:right w:val="single" w:sz="4" w:space="0" w:color="auto"/>
            </w:tcBorders>
          </w:tcPr>
          <w:p w:rsidR="00494F1F" w:rsidRPr="006C5648" w:rsidRDefault="00494F1F" w:rsidP="00494F1F">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494F1F" w:rsidRPr="00494F1F" w:rsidRDefault="00494F1F" w:rsidP="00494F1F">
            <w:pPr>
              <w:spacing w:line="240" w:lineRule="auto"/>
              <w:jc w:val="both"/>
              <w:rPr>
                <w:sz w:val="20"/>
                <w:szCs w:val="20"/>
              </w:rPr>
            </w:pPr>
            <w:r w:rsidRPr="00494F1F">
              <w:rPr>
                <w:sz w:val="20"/>
                <w:szCs w:val="20"/>
              </w:rPr>
              <w:t>Foreign Exchange Management (Overseas Investment) Regulations, 2022</w:t>
            </w:r>
          </w:p>
        </w:tc>
      </w:tr>
      <w:tr w:rsidR="00494F1F" w:rsidRPr="006C5648" w:rsidTr="00BF2165">
        <w:tc>
          <w:tcPr>
            <w:tcW w:w="846" w:type="dxa"/>
            <w:tcBorders>
              <w:top w:val="single" w:sz="4" w:space="0" w:color="auto"/>
              <w:left w:val="single" w:sz="4" w:space="0" w:color="auto"/>
              <w:bottom w:val="single" w:sz="4" w:space="0" w:color="auto"/>
              <w:right w:val="single" w:sz="4" w:space="0" w:color="auto"/>
            </w:tcBorders>
          </w:tcPr>
          <w:p w:rsidR="00494F1F" w:rsidRPr="006C5648" w:rsidRDefault="00494F1F" w:rsidP="00494F1F">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494F1F" w:rsidRPr="00494F1F" w:rsidRDefault="00494F1F" w:rsidP="00494F1F">
            <w:pPr>
              <w:spacing w:line="240" w:lineRule="auto"/>
              <w:jc w:val="both"/>
              <w:rPr>
                <w:rFonts w:ascii="Calibri" w:hAnsi="Calibri" w:cs="Calibri"/>
                <w:color w:val="000000"/>
                <w:sz w:val="20"/>
                <w:szCs w:val="20"/>
              </w:rPr>
            </w:pPr>
            <w:r w:rsidRPr="00494F1F">
              <w:rPr>
                <w:rFonts w:ascii="Calibri" w:hAnsi="Calibri" w:cs="Calibri"/>
                <w:color w:val="000000"/>
                <w:sz w:val="20"/>
                <w:szCs w:val="20"/>
              </w:rPr>
              <w:t>Foreign Exchange Management (Overseas Investment) Directions, 2022</w:t>
            </w:r>
          </w:p>
        </w:tc>
      </w:tr>
      <w:tr w:rsidR="00FE15FA" w:rsidRPr="006C5648" w:rsidTr="00BF2165">
        <w:tc>
          <w:tcPr>
            <w:tcW w:w="846" w:type="dxa"/>
            <w:tcBorders>
              <w:top w:val="single" w:sz="4" w:space="0" w:color="auto"/>
              <w:left w:val="single" w:sz="4" w:space="0" w:color="auto"/>
              <w:bottom w:val="single" w:sz="4" w:space="0" w:color="auto"/>
              <w:right w:val="single" w:sz="4" w:space="0" w:color="auto"/>
            </w:tcBorders>
          </w:tcPr>
          <w:p w:rsidR="00FE15FA" w:rsidRPr="006C5648" w:rsidRDefault="00FE15FA"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FE15FA" w:rsidRPr="00494F1F" w:rsidRDefault="00FE15FA" w:rsidP="00155008">
            <w:pPr>
              <w:spacing w:line="240" w:lineRule="auto"/>
              <w:jc w:val="both"/>
              <w:rPr>
                <w:rFonts w:ascii="Calibri" w:hAnsi="Calibri" w:cs="Calibri"/>
                <w:color w:val="000000"/>
                <w:sz w:val="20"/>
                <w:szCs w:val="20"/>
              </w:rPr>
            </w:pPr>
            <w:r>
              <w:rPr>
                <w:rFonts w:ascii="Calibri" w:hAnsi="Calibri" w:cs="Calibri"/>
                <w:color w:val="000000"/>
                <w:sz w:val="20"/>
                <w:szCs w:val="20"/>
              </w:rPr>
              <w:t>Guidelines on Digital Lending</w:t>
            </w:r>
          </w:p>
        </w:tc>
      </w:tr>
      <w:tr w:rsidR="00DD4E02" w:rsidRPr="006C5648" w:rsidTr="00BF2165">
        <w:tc>
          <w:tcPr>
            <w:tcW w:w="846" w:type="dxa"/>
            <w:tcBorders>
              <w:top w:val="single" w:sz="4" w:space="0" w:color="auto"/>
              <w:left w:val="single" w:sz="4" w:space="0" w:color="auto"/>
              <w:bottom w:val="single" w:sz="4" w:space="0" w:color="auto"/>
              <w:right w:val="single" w:sz="4" w:space="0" w:color="auto"/>
            </w:tcBorders>
          </w:tcPr>
          <w:p w:rsidR="00DD4E02" w:rsidRPr="006C5648" w:rsidRDefault="00DD4E02" w:rsidP="00DD4E02">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DD4E02" w:rsidRPr="006C5648" w:rsidRDefault="00DD4E02" w:rsidP="00DD4E02">
            <w:pPr>
              <w:spacing w:line="240" w:lineRule="auto"/>
              <w:jc w:val="both"/>
              <w:rPr>
                <w:rFonts w:ascii="Calibri" w:hAnsi="Calibri" w:cs="Calibri"/>
                <w:color w:val="000000"/>
                <w:sz w:val="20"/>
                <w:szCs w:val="20"/>
              </w:rPr>
            </w:pPr>
            <w:r>
              <w:rPr>
                <w:rFonts w:ascii="Calibri" w:hAnsi="Calibri" w:cs="Calibri"/>
                <w:color w:val="000000"/>
                <w:sz w:val="20"/>
                <w:szCs w:val="20"/>
              </w:rPr>
              <w:t>Review of Prudential Norms – Risk Weights for Exposures guaranteed by Credit Guarantee Schemes (CGS)</w:t>
            </w:r>
          </w:p>
        </w:tc>
      </w:tr>
      <w:tr w:rsidR="00494F1F" w:rsidRPr="006C5648" w:rsidTr="00BF2165">
        <w:tc>
          <w:tcPr>
            <w:tcW w:w="846" w:type="dxa"/>
            <w:tcBorders>
              <w:top w:val="single" w:sz="4" w:space="0" w:color="auto"/>
              <w:left w:val="single" w:sz="4" w:space="0" w:color="auto"/>
              <w:bottom w:val="single" w:sz="4" w:space="0" w:color="auto"/>
              <w:right w:val="single" w:sz="4" w:space="0" w:color="auto"/>
            </w:tcBorders>
          </w:tcPr>
          <w:p w:rsidR="00494F1F" w:rsidRPr="006C5648" w:rsidRDefault="00494F1F" w:rsidP="00494F1F">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494F1F" w:rsidRPr="00494F1F" w:rsidRDefault="00494F1F" w:rsidP="00494F1F">
            <w:pPr>
              <w:spacing w:line="240" w:lineRule="auto"/>
              <w:jc w:val="both"/>
              <w:rPr>
                <w:rFonts w:ascii="Calibri" w:hAnsi="Calibri" w:cs="Calibri"/>
                <w:color w:val="000000"/>
                <w:sz w:val="20"/>
                <w:szCs w:val="20"/>
              </w:rPr>
            </w:pPr>
            <w:r w:rsidRPr="00494F1F">
              <w:rPr>
                <w:rFonts w:ascii="Calibri" w:hAnsi="Calibri" w:cs="Calibri"/>
                <w:color w:val="000000"/>
                <w:sz w:val="20"/>
                <w:szCs w:val="20"/>
              </w:rPr>
              <w:t>Late Submission Fee for reporting delays under Foreign Exchange Management Act, 1999 (FEMA)</w:t>
            </w:r>
          </w:p>
        </w:tc>
      </w:tr>
      <w:tr w:rsidR="00B517AF" w:rsidRPr="006C5648" w:rsidTr="00BF2165">
        <w:tc>
          <w:tcPr>
            <w:tcW w:w="846" w:type="dxa"/>
            <w:tcBorders>
              <w:top w:val="single" w:sz="4" w:space="0" w:color="auto"/>
              <w:left w:val="single" w:sz="4" w:space="0" w:color="auto"/>
              <w:bottom w:val="single" w:sz="4" w:space="0" w:color="auto"/>
              <w:right w:val="single" w:sz="4" w:space="0" w:color="auto"/>
            </w:tcBorders>
          </w:tcPr>
          <w:p w:rsidR="00B517AF" w:rsidRPr="006C5648" w:rsidRDefault="00B517AF" w:rsidP="00494F1F">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B517AF" w:rsidRPr="00494F1F" w:rsidRDefault="00B517AF" w:rsidP="00494F1F">
            <w:pPr>
              <w:spacing w:line="240" w:lineRule="auto"/>
              <w:jc w:val="both"/>
              <w:rPr>
                <w:rFonts w:ascii="Calibri" w:hAnsi="Calibri" w:cs="Calibri"/>
                <w:color w:val="000000"/>
                <w:sz w:val="20"/>
                <w:szCs w:val="20"/>
              </w:rPr>
            </w:pPr>
            <w:r>
              <w:rPr>
                <w:rFonts w:ascii="Calibri" w:hAnsi="Calibri" w:cs="Calibri"/>
                <w:color w:val="000000"/>
                <w:sz w:val="20"/>
                <w:szCs w:val="20"/>
              </w:rPr>
              <w:t>Appointment of Internal Ombudsman by the Credit Information Companies</w:t>
            </w:r>
          </w:p>
        </w:tc>
      </w:tr>
      <w:tr w:rsidR="00155008" w:rsidRPr="006C5648" w:rsidTr="00BF2165">
        <w:tc>
          <w:tcPr>
            <w:tcW w:w="846" w:type="dxa"/>
            <w:tcBorders>
              <w:top w:val="single" w:sz="4" w:space="0" w:color="auto"/>
              <w:left w:val="single" w:sz="4" w:space="0" w:color="auto"/>
              <w:bottom w:val="single" w:sz="4" w:space="0" w:color="auto"/>
              <w:right w:val="single" w:sz="4" w:space="0" w:color="auto"/>
            </w:tcBorders>
          </w:tcPr>
          <w:p w:rsidR="00155008" w:rsidRPr="006C5648" w:rsidRDefault="00155008"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155008" w:rsidRPr="00494F1F" w:rsidRDefault="00C109D0" w:rsidP="00155008">
            <w:pPr>
              <w:spacing w:line="240" w:lineRule="auto"/>
              <w:jc w:val="both"/>
              <w:rPr>
                <w:rFonts w:ascii="Calibri" w:hAnsi="Calibri" w:cs="Calibri"/>
                <w:color w:val="000000"/>
                <w:sz w:val="20"/>
                <w:szCs w:val="20"/>
              </w:rPr>
            </w:pPr>
            <w:r>
              <w:rPr>
                <w:rFonts w:ascii="Calibri" w:hAnsi="Calibri" w:cs="Calibri"/>
                <w:color w:val="000000"/>
                <w:sz w:val="20"/>
                <w:szCs w:val="20"/>
              </w:rPr>
              <w:t>Review of Prudential Norms – Risk Weights for Exposures to Corporates and NBFCs</w:t>
            </w:r>
          </w:p>
        </w:tc>
      </w:tr>
      <w:tr w:rsidR="00155008" w:rsidRPr="006C5648" w:rsidTr="00BF2165">
        <w:tc>
          <w:tcPr>
            <w:tcW w:w="846" w:type="dxa"/>
            <w:tcBorders>
              <w:top w:val="single" w:sz="4" w:space="0" w:color="auto"/>
              <w:left w:val="single" w:sz="4" w:space="0" w:color="auto"/>
              <w:bottom w:val="single" w:sz="4" w:space="0" w:color="auto"/>
              <w:right w:val="single" w:sz="4" w:space="0" w:color="auto"/>
            </w:tcBorders>
          </w:tcPr>
          <w:p w:rsidR="00155008" w:rsidRPr="006C5648" w:rsidRDefault="00155008"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155008" w:rsidRPr="00494F1F" w:rsidRDefault="00C109D0" w:rsidP="00155008">
            <w:pPr>
              <w:spacing w:line="240" w:lineRule="auto"/>
              <w:jc w:val="both"/>
              <w:rPr>
                <w:rFonts w:ascii="Calibri" w:hAnsi="Calibri" w:cs="Calibri"/>
                <w:color w:val="000000"/>
                <w:sz w:val="20"/>
                <w:szCs w:val="20"/>
              </w:rPr>
            </w:pPr>
            <w:r>
              <w:rPr>
                <w:rFonts w:ascii="Calibri" w:hAnsi="Calibri" w:cs="Calibri"/>
                <w:color w:val="000000"/>
                <w:sz w:val="20"/>
                <w:szCs w:val="20"/>
              </w:rPr>
              <w:t>Reserve Bank of India (Financial Statements - Presentation and Disclosures) Directions, 2021 - Disclosure of Divergence in Asset Classification and Provisioning</w:t>
            </w:r>
          </w:p>
        </w:tc>
      </w:tr>
      <w:tr w:rsidR="00155008" w:rsidRPr="006C5648" w:rsidTr="00BF2165">
        <w:tc>
          <w:tcPr>
            <w:tcW w:w="846" w:type="dxa"/>
            <w:tcBorders>
              <w:top w:val="single" w:sz="4" w:space="0" w:color="auto"/>
              <w:left w:val="single" w:sz="4" w:space="0" w:color="auto"/>
              <w:bottom w:val="single" w:sz="4" w:space="0" w:color="auto"/>
              <w:right w:val="single" w:sz="4" w:space="0" w:color="auto"/>
            </w:tcBorders>
          </w:tcPr>
          <w:p w:rsidR="00155008" w:rsidRPr="006C5648" w:rsidRDefault="00155008"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155008" w:rsidRPr="00494F1F" w:rsidRDefault="00C109D0" w:rsidP="00155008">
            <w:pPr>
              <w:spacing w:line="240" w:lineRule="auto"/>
              <w:jc w:val="both"/>
              <w:rPr>
                <w:rFonts w:ascii="Calibri" w:hAnsi="Calibri" w:cs="Calibri"/>
                <w:color w:val="000000"/>
                <w:sz w:val="20"/>
                <w:szCs w:val="20"/>
              </w:rPr>
            </w:pPr>
            <w:r>
              <w:rPr>
                <w:rFonts w:ascii="Calibri" w:hAnsi="Calibri" w:cs="Calibri"/>
                <w:color w:val="000000"/>
                <w:sz w:val="20"/>
                <w:szCs w:val="20"/>
              </w:rPr>
              <w:t>Claims Received from the National Credit Guarantee Trustee Company Ltd (NCGTC) - Classification for the Purpose of Maintenance of Cash Reserve Ratio (CRR)/Statutory Liquidity Ratio (SLR)</w:t>
            </w:r>
          </w:p>
        </w:tc>
      </w:tr>
      <w:tr w:rsidR="005748AD" w:rsidRPr="006C5648" w:rsidTr="00BF2165">
        <w:tc>
          <w:tcPr>
            <w:tcW w:w="846" w:type="dxa"/>
            <w:tcBorders>
              <w:top w:val="single" w:sz="4" w:space="0" w:color="auto"/>
              <w:left w:val="single" w:sz="4" w:space="0" w:color="auto"/>
              <w:bottom w:val="single" w:sz="4" w:space="0" w:color="auto"/>
              <w:right w:val="single" w:sz="4" w:space="0" w:color="auto"/>
            </w:tcBorders>
          </w:tcPr>
          <w:p w:rsidR="005748AD" w:rsidRPr="006C5648" w:rsidRDefault="005748AD"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C109D0" w:rsidRPr="00494F1F" w:rsidRDefault="00C109D0" w:rsidP="00155008">
            <w:pPr>
              <w:spacing w:line="240" w:lineRule="auto"/>
              <w:jc w:val="both"/>
              <w:rPr>
                <w:rFonts w:ascii="Calibri" w:hAnsi="Calibri" w:cs="Calibri"/>
                <w:color w:val="000000"/>
                <w:sz w:val="20"/>
                <w:szCs w:val="20"/>
              </w:rPr>
            </w:pPr>
            <w:r>
              <w:rPr>
                <w:rFonts w:ascii="Calibri" w:hAnsi="Calibri" w:cs="Calibri"/>
                <w:color w:val="000000"/>
                <w:sz w:val="20"/>
                <w:szCs w:val="20"/>
              </w:rPr>
              <w:t xml:space="preserve">Modified Interest Subvention Scheme for Short Term Loans for Agriculture and Allied Activities availed through </w:t>
            </w:r>
            <w:proofErr w:type="spellStart"/>
            <w:r>
              <w:rPr>
                <w:rFonts w:ascii="Calibri" w:hAnsi="Calibri" w:cs="Calibri"/>
                <w:color w:val="000000"/>
                <w:sz w:val="20"/>
                <w:szCs w:val="20"/>
              </w:rPr>
              <w:t>Kisan</w:t>
            </w:r>
            <w:proofErr w:type="spellEnd"/>
            <w:r>
              <w:rPr>
                <w:rFonts w:ascii="Calibri" w:hAnsi="Calibri" w:cs="Calibri"/>
                <w:color w:val="000000"/>
                <w:sz w:val="20"/>
                <w:szCs w:val="20"/>
              </w:rPr>
              <w:t xml:space="preserve"> Credit Card (KCC) during the financial years 2022-23 and 2023-24</w:t>
            </w:r>
          </w:p>
        </w:tc>
      </w:tr>
      <w:tr w:rsidR="00C109D0" w:rsidRPr="006C5648" w:rsidTr="00B357D8">
        <w:tc>
          <w:tcPr>
            <w:tcW w:w="846" w:type="dxa"/>
            <w:tcBorders>
              <w:top w:val="single" w:sz="4" w:space="0" w:color="auto"/>
              <w:left w:val="single" w:sz="4" w:space="0" w:color="auto"/>
              <w:bottom w:val="single" w:sz="4" w:space="0" w:color="auto"/>
              <w:right w:val="single" w:sz="4" w:space="0" w:color="auto"/>
            </w:tcBorders>
          </w:tcPr>
          <w:p w:rsidR="00C109D0" w:rsidRPr="006C5648" w:rsidRDefault="00C109D0" w:rsidP="00C109D0">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vAlign w:val="center"/>
          </w:tcPr>
          <w:p w:rsidR="00C109D0" w:rsidRDefault="00C109D0" w:rsidP="00C109D0">
            <w:pPr>
              <w:spacing w:line="240" w:lineRule="auto"/>
              <w:rPr>
                <w:rFonts w:ascii="Calibri" w:hAnsi="Calibri" w:cs="Calibri"/>
                <w:color w:val="000000"/>
                <w:sz w:val="20"/>
                <w:szCs w:val="20"/>
              </w:rPr>
            </w:pPr>
            <w:r>
              <w:rPr>
                <w:rFonts w:ascii="Calibri" w:hAnsi="Calibri" w:cs="Calibri"/>
                <w:color w:val="000000"/>
                <w:sz w:val="20"/>
                <w:szCs w:val="20"/>
              </w:rPr>
              <w:t>Inclusion of Goods and Service Tax Network (GSTN) as a Financial Information Provider under Account Aggregator Framework</w:t>
            </w:r>
          </w:p>
        </w:tc>
      </w:tr>
      <w:tr w:rsidR="005748AD" w:rsidRPr="006C5648" w:rsidTr="00BF2165">
        <w:tc>
          <w:tcPr>
            <w:tcW w:w="846" w:type="dxa"/>
            <w:tcBorders>
              <w:top w:val="single" w:sz="4" w:space="0" w:color="auto"/>
              <w:left w:val="single" w:sz="4" w:space="0" w:color="auto"/>
              <w:bottom w:val="single" w:sz="4" w:space="0" w:color="auto"/>
              <w:right w:val="single" w:sz="4" w:space="0" w:color="auto"/>
            </w:tcBorders>
          </w:tcPr>
          <w:p w:rsidR="005748AD" w:rsidRPr="006C5648" w:rsidRDefault="005748AD"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5748AD" w:rsidRPr="00494F1F" w:rsidRDefault="00C109D0" w:rsidP="00155008">
            <w:pPr>
              <w:spacing w:line="240" w:lineRule="auto"/>
              <w:jc w:val="both"/>
              <w:rPr>
                <w:rFonts w:ascii="Calibri" w:hAnsi="Calibri" w:cs="Calibri"/>
                <w:color w:val="000000"/>
                <w:sz w:val="20"/>
                <w:szCs w:val="20"/>
              </w:rPr>
            </w:pPr>
            <w:r>
              <w:rPr>
                <w:rFonts w:ascii="Calibri" w:hAnsi="Calibri" w:cs="Calibri"/>
                <w:color w:val="000000"/>
                <w:sz w:val="20"/>
                <w:szCs w:val="20"/>
              </w:rPr>
              <w:t>Data Format for Furnishing of Credit Information to Credit Information Companies and other Regulatory Measures</w:t>
            </w:r>
          </w:p>
        </w:tc>
      </w:tr>
      <w:tr w:rsidR="005748AD" w:rsidRPr="006C5648" w:rsidTr="00BF2165">
        <w:tc>
          <w:tcPr>
            <w:tcW w:w="846" w:type="dxa"/>
            <w:tcBorders>
              <w:top w:val="single" w:sz="4" w:space="0" w:color="auto"/>
              <w:left w:val="single" w:sz="4" w:space="0" w:color="auto"/>
              <w:bottom w:val="single" w:sz="4" w:space="0" w:color="auto"/>
              <w:right w:val="single" w:sz="4" w:space="0" w:color="auto"/>
            </w:tcBorders>
          </w:tcPr>
          <w:p w:rsidR="005748AD" w:rsidRPr="006C5648" w:rsidRDefault="005748AD"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5748AD" w:rsidRPr="00C109D0" w:rsidRDefault="00C109D0" w:rsidP="00155008">
            <w:pPr>
              <w:spacing w:line="240" w:lineRule="auto"/>
              <w:jc w:val="both"/>
              <w:rPr>
                <w:rFonts w:ascii="Calibri" w:hAnsi="Calibri" w:cs="Calibri"/>
                <w:color w:val="000000"/>
              </w:rPr>
            </w:pPr>
            <w:r>
              <w:rPr>
                <w:rFonts w:ascii="Calibri" w:hAnsi="Calibri" w:cs="Calibri"/>
                <w:color w:val="000000"/>
              </w:rPr>
              <w:t>Individual Housing loans – Revised limits under four-tiered regulatory framework</w:t>
            </w:r>
          </w:p>
        </w:tc>
      </w:tr>
    </w:tbl>
    <w:p w:rsidR="00744532" w:rsidRDefault="00744532">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155008" w:rsidRDefault="00155008">
      <w:pPr>
        <w:spacing w:line="259" w:lineRule="auto"/>
        <w:rPr>
          <w:rFonts w:ascii="Arial" w:hAnsi="Arial" w:cs="Arial"/>
          <w:sz w:val="20"/>
          <w:szCs w:val="20"/>
        </w:rPr>
      </w:pPr>
    </w:p>
    <w:p w:rsidR="00155008" w:rsidRDefault="00155008">
      <w:pPr>
        <w:spacing w:line="259" w:lineRule="auto"/>
        <w:rPr>
          <w:rFonts w:ascii="Arial" w:hAnsi="Arial" w:cs="Arial"/>
          <w:sz w:val="20"/>
          <w:szCs w:val="20"/>
        </w:rPr>
      </w:pPr>
    </w:p>
    <w:p w:rsidR="00155008" w:rsidRDefault="00155008">
      <w:pPr>
        <w:spacing w:line="259" w:lineRule="auto"/>
        <w:rPr>
          <w:rFonts w:ascii="Arial" w:hAnsi="Arial" w:cs="Arial"/>
          <w:sz w:val="20"/>
          <w:szCs w:val="20"/>
        </w:rPr>
      </w:pPr>
    </w:p>
    <w:p w:rsidR="00155008" w:rsidRDefault="00155008">
      <w:pPr>
        <w:spacing w:line="259" w:lineRule="auto"/>
        <w:rPr>
          <w:rFonts w:ascii="Arial" w:hAnsi="Arial" w:cs="Arial"/>
          <w:sz w:val="20"/>
          <w:szCs w:val="20"/>
        </w:rPr>
      </w:pPr>
    </w:p>
    <w:p w:rsidR="00155008" w:rsidRDefault="00155008">
      <w:pPr>
        <w:spacing w:line="259" w:lineRule="auto"/>
        <w:rPr>
          <w:rFonts w:ascii="Arial" w:hAnsi="Arial" w:cs="Arial"/>
          <w:sz w:val="20"/>
          <w:szCs w:val="20"/>
        </w:rPr>
      </w:pPr>
    </w:p>
    <w:p w:rsidR="00155008" w:rsidRDefault="00155008">
      <w:pPr>
        <w:spacing w:line="259" w:lineRule="auto"/>
        <w:rPr>
          <w:rFonts w:ascii="Arial" w:hAnsi="Arial" w:cs="Arial"/>
          <w:sz w:val="20"/>
          <w:szCs w:val="20"/>
        </w:rPr>
      </w:pPr>
    </w:p>
    <w:p w:rsidR="00E65289" w:rsidRDefault="00E65289">
      <w:pPr>
        <w:spacing w:line="259" w:lineRule="auto"/>
        <w:rPr>
          <w:rFonts w:ascii="Arial" w:hAnsi="Arial" w:cs="Arial"/>
          <w:sz w:val="20"/>
          <w:szCs w:val="20"/>
        </w:rPr>
      </w:pPr>
    </w:p>
    <w:p w:rsidR="00E047EF" w:rsidRDefault="00E047EF" w:rsidP="00213882">
      <w:pPr>
        <w:spacing w:line="259" w:lineRule="auto"/>
        <w:rPr>
          <w:rFonts w:ascii="Arial" w:hAnsi="Arial" w:cs="Arial"/>
          <w:b/>
          <w:bCs/>
          <w:color w:val="000000"/>
          <w:sz w:val="20"/>
          <w:szCs w:val="20"/>
        </w:rPr>
      </w:pPr>
    </w:p>
    <w:p w:rsidR="00213882" w:rsidRDefault="00213882" w:rsidP="00213882">
      <w:pPr>
        <w:spacing w:line="259" w:lineRule="auto"/>
        <w:rPr>
          <w:rFonts w:ascii="Arial" w:hAnsi="Arial" w:cs="Arial"/>
          <w:b/>
          <w:bCs/>
          <w:color w:val="000000"/>
          <w:sz w:val="20"/>
          <w:szCs w:val="20"/>
        </w:rPr>
      </w:pPr>
      <w:r>
        <w:rPr>
          <w:rFonts w:ascii="Arial" w:hAnsi="Arial" w:cs="Arial"/>
          <w:b/>
          <w:bCs/>
          <w:color w:val="000000"/>
          <w:sz w:val="20"/>
          <w:szCs w:val="20"/>
        </w:rPr>
        <w:t>Board approved Loan Policy – Management of Advances – UCBs</w:t>
      </w:r>
    </w:p>
    <w:p w:rsidR="00213882" w:rsidRDefault="00213882" w:rsidP="00213882">
      <w:pPr>
        <w:pStyle w:val="NormalWeb"/>
        <w:jc w:val="both"/>
        <w:rPr>
          <w:rFonts w:ascii="Arial" w:hAnsi="Arial" w:cs="Arial"/>
          <w:color w:val="000000"/>
          <w:sz w:val="20"/>
          <w:szCs w:val="20"/>
        </w:rPr>
      </w:pPr>
      <w:r>
        <w:rPr>
          <w:rFonts w:ascii="Arial" w:hAnsi="Arial" w:cs="Arial"/>
          <w:color w:val="000000"/>
          <w:sz w:val="20"/>
          <w:szCs w:val="20"/>
        </w:rPr>
        <w:t>RBI/2022-23/93</w:t>
      </w:r>
      <w:r>
        <w:rPr>
          <w:rFonts w:ascii="Arial" w:hAnsi="Arial" w:cs="Arial"/>
          <w:color w:val="000000"/>
          <w:sz w:val="20"/>
          <w:szCs w:val="20"/>
        </w:rPr>
        <w:br/>
        <w:t>DOR.CRE.REC.56/13.05.000/2022-23</w:t>
      </w:r>
    </w:p>
    <w:p w:rsidR="00213882" w:rsidRDefault="00213882" w:rsidP="00213882">
      <w:pPr>
        <w:pStyle w:val="NormalWeb"/>
        <w:jc w:val="right"/>
        <w:rPr>
          <w:rFonts w:ascii="Arial" w:hAnsi="Arial" w:cs="Arial"/>
          <w:color w:val="000000"/>
          <w:sz w:val="20"/>
          <w:szCs w:val="20"/>
        </w:rPr>
      </w:pPr>
      <w:r>
        <w:rPr>
          <w:rFonts w:ascii="Arial" w:hAnsi="Arial" w:cs="Arial"/>
          <w:color w:val="000000"/>
          <w:sz w:val="20"/>
          <w:szCs w:val="20"/>
        </w:rPr>
        <w:t>July 26, 2022</w:t>
      </w:r>
    </w:p>
    <w:p w:rsidR="00213882" w:rsidRDefault="00213882" w:rsidP="00213882">
      <w:pPr>
        <w:pStyle w:val="NormalWeb"/>
        <w:jc w:val="both"/>
        <w:rPr>
          <w:rFonts w:ascii="Arial" w:hAnsi="Arial" w:cs="Arial"/>
          <w:color w:val="000000"/>
          <w:sz w:val="20"/>
          <w:szCs w:val="20"/>
        </w:rPr>
      </w:pPr>
      <w:r>
        <w:rPr>
          <w:rFonts w:ascii="Arial" w:hAnsi="Arial" w:cs="Arial"/>
          <w:color w:val="000000"/>
          <w:sz w:val="20"/>
          <w:szCs w:val="20"/>
        </w:rPr>
        <w:t>All Primary (Urban) Co-operative Banks</w:t>
      </w:r>
    </w:p>
    <w:p w:rsidR="00213882" w:rsidRDefault="00213882" w:rsidP="00213882">
      <w:pPr>
        <w:pStyle w:val="NormalWeb"/>
        <w:jc w:val="both"/>
        <w:rPr>
          <w:rFonts w:ascii="Arial" w:hAnsi="Arial" w:cs="Arial"/>
          <w:color w:val="000000"/>
          <w:sz w:val="20"/>
          <w:szCs w:val="20"/>
        </w:rPr>
      </w:pPr>
      <w:r>
        <w:rPr>
          <w:rFonts w:ascii="Arial" w:hAnsi="Arial" w:cs="Arial"/>
          <w:color w:val="000000"/>
          <w:sz w:val="20"/>
          <w:szCs w:val="20"/>
        </w:rPr>
        <w:t>Madam / Dear Sir,</w:t>
      </w:r>
    </w:p>
    <w:p w:rsidR="00213882" w:rsidRDefault="00213882" w:rsidP="00213882">
      <w:pPr>
        <w:pStyle w:val="head"/>
        <w:jc w:val="both"/>
        <w:rPr>
          <w:rFonts w:ascii="Arial" w:hAnsi="Arial" w:cs="Arial"/>
          <w:b/>
          <w:bCs/>
          <w:color w:val="000000"/>
          <w:sz w:val="20"/>
          <w:szCs w:val="20"/>
        </w:rPr>
      </w:pPr>
      <w:r>
        <w:rPr>
          <w:rFonts w:ascii="Arial" w:hAnsi="Arial" w:cs="Arial"/>
          <w:b/>
          <w:bCs/>
          <w:color w:val="000000"/>
          <w:sz w:val="20"/>
          <w:szCs w:val="20"/>
        </w:rPr>
        <w:t>Board approved Loan Policy – Management of Advances - UCBs</w:t>
      </w:r>
    </w:p>
    <w:p w:rsidR="00213882" w:rsidRDefault="00213882" w:rsidP="00213882">
      <w:pPr>
        <w:pStyle w:val="NormalWeb"/>
        <w:jc w:val="both"/>
        <w:rPr>
          <w:rFonts w:ascii="Arial" w:hAnsi="Arial" w:cs="Arial"/>
          <w:color w:val="000000"/>
          <w:sz w:val="20"/>
          <w:szCs w:val="20"/>
        </w:rPr>
      </w:pPr>
      <w:r>
        <w:rPr>
          <w:rFonts w:ascii="Arial" w:hAnsi="Arial" w:cs="Arial"/>
          <w:color w:val="000000"/>
          <w:sz w:val="20"/>
          <w:szCs w:val="20"/>
        </w:rPr>
        <w:t>Please refer to para 1 of the </w:t>
      </w:r>
      <w:hyperlink r:id="rId6" w:tgtFrame="_blank" w:history="1">
        <w:r>
          <w:rPr>
            <w:rStyle w:val="Hyperlink"/>
            <w:rFonts w:ascii="Arial" w:hAnsi="Arial" w:cs="Arial"/>
            <w:sz w:val="20"/>
            <w:szCs w:val="20"/>
          </w:rPr>
          <w:t>Master Circular DOR.CRE.REC.No.17/13.05.000/2022-23 dated April 8, 2022</w:t>
        </w:r>
      </w:hyperlink>
      <w:r>
        <w:rPr>
          <w:rFonts w:ascii="Arial" w:hAnsi="Arial" w:cs="Arial"/>
          <w:color w:val="000000"/>
          <w:sz w:val="20"/>
          <w:szCs w:val="20"/>
        </w:rPr>
        <w:t> on Management of Advances – UCBs in terms of which, UCBs are required to lay down, with the approval of their boards, transparent policies and guidelines for credit dispensation, in respect of each broad category of economic activity, keeping in view the credit exposure norms and various other guidelines issued by Reserve Bank from time to time.</w:t>
      </w:r>
    </w:p>
    <w:p w:rsidR="00213882" w:rsidRDefault="00213882" w:rsidP="00213882">
      <w:pPr>
        <w:pStyle w:val="NormalWeb"/>
        <w:jc w:val="both"/>
        <w:rPr>
          <w:rFonts w:ascii="Arial" w:hAnsi="Arial" w:cs="Arial"/>
          <w:color w:val="000000"/>
          <w:sz w:val="20"/>
          <w:szCs w:val="20"/>
        </w:rPr>
      </w:pPr>
      <w:r>
        <w:rPr>
          <w:rFonts w:ascii="Arial" w:hAnsi="Arial" w:cs="Arial"/>
          <w:color w:val="000000"/>
          <w:sz w:val="20"/>
          <w:szCs w:val="20"/>
        </w:rPr>
        <w:t>2. It has been observed in several UCBs that these policies not only lack comprehensive coverage, but also do not require a periodic review. In order to ensure that the loan policy reflects approved internal risk appetite and remains in alignment with the extant regulations, it is advised that the loan policy of the bank shall be reviewed by the Board at least once in a financial year.</w:t>
      </w:r>
    </w:p>
    <w:p w:rsidR="00213882" w:rsidRDefault="00213882" w:rsidP="00213882">
      <w:pPr>
        <w:pStyle w:val="NormalWeb"/>
        <w:jc w:val="both"/>
        <w:rPr>
          <w:rFonts w:ascii="Arial" w:hAnsi="Arial" w:cs="Arial"/>
          <w:color w:val="000000"/>
          <w:sz w:val="20"/>
          <w:szCs w:val="20"/>
        </w:rPr>
      </w:pPr>
      <w:r>
        <w:rPr>
          <w:rFonts w:ascii="Arial" w:hAnsi="Arial" w:cs="Arial"/>
          <w:color w:val="000000"/>
          <w:sz w:val="20"/>
          <w:szCs w:val="20"/>
        </w:rPr>
        <w:t>3. The above instructions will come into effect immediately.</w:t>
      </w:r>
    </w:p>
    <w:p w:rsidR="00213882" w:rsidRDefault="00213882" w:rsidP="00213882">
      <w:pPr>
        <w:pStyle w:val="NormalWeb"/>
        <w:jc w:val="both"/>
        <w:rPr>
          <w:rFonts w:ascii="Arial" w:hAnsi="Arial" w:cs="Arial"/>
          <w:color w:val="000000"/>
          <w:sz w:val="20"/>
          <w:szCs w:val="20"/>
        </w:rPr>
      </w:pPr>
      <w:r>
        <w:rPr>
          <w:rFonts w:ascii="Arial" w:hAnsi="Arial" w:cs="Arial"/>
          <w:color w:val="000000"/>
          <w:sz w:val="20"/>
          <w:szCs w:val="20"/>
        </w:rPr>
        <w:t>Yours faithfully,</w:t>
      </w:r>
    </w:p>
    <w:p w:rsidR="00213882" w:rsidRDefault="00213882" w:rsidP="00213882">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Manoranjan</w:t>
      </w:r>
      <w:proofErr w:type="spellEnd"/>
      <w:r>
        <w:rPr>
          <w:rFonts w:ascii="Arial" w:hAnsi="Arial" w:cs="Arial"/>
          <w:color w:val="000000"/>
          <w:sz w:val="20"/>
          <w:szCs w:val="20"/>
        </w:rPr>
        <w:t xml:space="preserve"> Mishra)</w:t>
      </w:r>
      <w:r>
        <w:rPr>
          <w:rFonts w:ascii="Arial" w:hAnsi="Arial" w:cs="Arial"/>
          <w:color w:val="000000"/>
          <w:sz w:val="20"/>
          <w:szCs w:val="20"/>
        </w:rPr>
        <w:br/>
        <w:t>Chief General Manager</w:t>
      </w:r>
    </w:p>
    <w:p w:rsidR="00213882" w:rsidRDefault="00213882" w:rsidP="00213882">
      <w:pPr>
        <w:spacing w:line="259" w:lineRule="auto"/>
        <w:rPr>
          <w:rFonts w:ascii="Arial" w:hAnsi="Arial" w:cs="Arial"/>
          <w:sz w:val="20"/>
          <w:szCs w:val="20"/>
        </w:rPr>
      </w:pPr>
    </w:p>
    <w:p w:rsidR="00213882" w:rsidRDefault="00213882" w:rsidP="00213882">
      <w:pPr>
        <w:spacing w:line="259" w:lineRule="auto"/>
        <w:rPr>
          <w:rFonts w:ascii="Arial" w:hAnsi="Arial" w:cs="Arial"/>
          <w:sz w:val="20"/>
          <w:szCs w:val="20"/>
        </w:rPr>
      </w:pPr>
    </w:p>
    <w:p w:rsidR="00213882" w:rsidRDefault="00213882" w:rsidP="00213882">
      <w:pPr>
        <w:spacing w:line="259" w:lineRule="auto"/>
        <w:rPr>
          <w:rFonts w:ascii="Arial" w:hAnsi="Arial" w:cs="Arial"/>
          <w:sz w:val="20"/>
          <w:szCs w:val="20"/>
        </w:rPr>
      </w:pPr>
    </w:p>
    <w:p w:rsidR="00213882" w:rsidRDefault="00213882" w:rsidP="00213882">
      <w:r>
        <w:t>More details can be referred to in the below link.</w:t>
      </w:r>
    </w:p>
    <w:p w:rsidR="00213882" w:rsidRDefault="00213882" w:rsidP="00213882">
      <w:pPr>
        <w:spacing w:line="259" w:lineRule="auto"/>
        <w:rPr>
          <w:rFonts w:ascii="Arial" w:hAnsi="Arial" w:cs="Arial"/>
          <w:bCs/>
          <w:color w:val="000000"/>
          <w:sz w:val="20"/>
          <w:szCs w:val="20"/>
        </w:rPr>
      </w:pPr>
      <w:r>
        <w:rPr>
          <w:rFonts w:ascii="Arial" w:hAnsi="Arial" w:cs="Arial"/>
          <w:bCs/>
          <w:color w:val="000000"/>
          <w:sz w:val="20"/>
          <w:szCs w:val="20"/>
        </w:rPr>
        <w:t xml:space="preserve">Reference Link: </w:t>
      </w:r>
      <w:hyperlink r:id="rId7" w:history="1">
        <w:r w:rsidRPr="00735218">
          <w:rPr>
            <w:rStyle w:val="Hyperlink"/>
            <w:rFonts w:ascii="Arial" w:hAnsi="Arial" w:cs="Arial"/>
            <w:bCs/>
            <w:sz w:val="20"/>
            <w:szCs w:val="20"/>
          </w:rPr>
          <w:t>https://www.rbi.org.in/scripts/NotificationUser.aspx?Id=12361&amp;Mode=0</w:t>
        </w:r>
      </w:hyperlink>
    </w:p>
    <w:p w:rsidR="00213882" w:rsidRDefault="00213882" w:rsidP="00213882">
      <w:pPr>
        <w:spacing w:line="259" w:lineRule="auto"/>
        <w:rPr>
          <w:rFonts w:ascii="Arial" w:hAnsi="Arial" w:cs="Arial"/>
          <w:bCs/>
          <w:color w:val="000000"/>
          <w:sz w:val="20"/>
          <w:szCs w:val="20"/>
        </w:rPr>
      </w:pPr>
    </w:p>
    <w:p w:rsidR="00213882" w:rsidRDefault="00213882" w:rsidP="00213882">
      <w:pPr>
        <w:spacing w:line="259" w:lineRule="auto"/>
        <w:rPr>
          <w:rFonts w:ascii="Arial" w:hAnsi="Arial" w:cs="Arial"/>
          <w:bCs/>
          <w:color w:val="000000"/>
          <w:sz w:val="20"/>
          <w:szCs w:val="20"/>
        </w:rPr>
      </w:pPr>
    </w:p>
    <w:p w:rsidR="00213882" w:rsidRDefault="00213882" w:rsidP="00213882">
      <w:pPr>
        <w:spacing w:line="259" w:lineRule="auto"/>
        <w:rPr>
          <w:rFonts w:ascii="Arial" w:hAnsi="Arial" w:cs="Arial"/>
          <w:bCs/>
          <w:color w:val="000000"/>
          <w:sz w:val="20"/>
          <w:szCs w:val="20"/>
        </w:rPr>
      </w:pPr>
    </w:p>
    <w:p w:rsidR="00213882" w:rsidRDefault="00213882" w:rsidP="00213882">
      <w:pPr>
        <w:spacing w:line="259" w:lineRule="auto"/>
        <w:rPr>
          <w:rFonts w:ascii="Arial" w:hAnsi="Arial" w:cs="Arial"/>
          <w:bCs/>
          <w:color w:val="000000"/>
          <w:sz w:val="20"/>
          <w:szCs w:val="20"/>
        </w:rPr>
      </w:pPr>
    </w:p>
    <w:p w:rsidR="00213882" w:rsidRDefault="00213882" w:rsidP="00213882">
      <w:pPr>
        <w:spacing w:line="259" w:lineRule="auto"/>
        <w:rPr>
          <w:rFonts w:ascii="Arial" w:hAnsi="Arial" w:cs="Arial"/>
          <w:bCs/>
          <w:color w:val="000000"/>
          <w:sz w:val="20"/>
          <w:szCs w:val="20"/>
        </w:rPr>
      </w:pPr>
    </w:p>
    <w:p w:rsidR="00213882" w:rsidRDefault="00213882" w:rsidP="00213882">
      <w:pPr>
        <w:spacing w:line="259" w:lineRule="auto"/>
        <w:rPr>
          <w:rFonts w:ascii="Arial" w:hAnsi="Arial" w:cs="Arial"/>
          <w:sz w:val="20"/>
          <w:szCs w:val="20"/>
        </w:rPr>
      </w:pPr>
    </w:p>
    <w:p w:rsidR="00213882" w:rsidRDefault="00213882" w:rsidP="00213882">
      <w:pPr>
        <w:spacing w:line="259" w:lineRule="auto"/>
        <w:rPr>
          <w:rFonts w:ascii="Arial" w:hAnsi="Arial" w:cs="Arial"/>
          <w:sz w:val="20"/>
          <w:szCs w:val="20"/>
        </w:rPr>
      </w:pPr>
    </w:p>
    <w:p w:rsidR="00213882" w:rsidRDefault="00213882" w:rsidP="00213882">
      <w:pPr>
        <w:spacing w:line="259" w:lineRule="auto"/>
        <w:rPr>
          <w:rFonts w:ascii="Arial" w:hAnsi="Arial" w:cs="Arial"/>
          <w:sz w:val="20"/>
          <w:szCs w:val="20"/>
        </w:rPr>
      </w:pPr>
    </w:p>
    <w:p w:rsidR="00213882" w:rsidRDefault="00213882" w:rsidP="00213882">
      <w:pPr>
        <w:spacing w:line="259" w:lineRule="auto"/>
        <w:rPr>
          <w:rFonts w:ascii="Arial" w:hAnsi="Arial" w:cs="Arial"/>
          <w:sz w:val="20"/>
          <w:szCs w:val="20"/>
        </w:rPr>
      </w:pPr>
    </w:p>
    <w:p w:rsidR="00213882" w:rsidRDefault="00213882" w:rsidP="00213882">
      <w:pPr>
        <w:spacing w:line="259" w:lineRule="auto"/>
        <w:rPr>
          <w:rFonts w:ascii="Arial" w:hAnsi="Arial" w:cs="Arial"/>
          <w:sz w:val="20"/>
          <w:szCs w:val="20"/>
        </w:rPr>
      </w:pPr>
    </w:p>
    <w:p w:rsidR="00213882" w:rsidRPr="00583041" w:rsidRDefault="00213882" w:rsidP="00213882">
      <w:pPr>
        <w:spacing w:after="0"/>
        <w:jc w:val="both"/>
        <w:rPr>
          <w:rFonts w:ascii="Arial" w:hAnsi="Arial" w:cs="Arial"/>
          <w:b/>
          <w:sz w:val="20"/>
          <w:szCs w:val="20"/>
        </w:rPr>
      </w:pPr>
      <w:r w:rsidRPr="00583041">
        <w:rPr>
          <w:rFonts w:ascii="Arial" w:hAnsi="Arial" w:cs="Arial"/>
          <w:b/>
          <w:sz w:val="20"/>
          <w:szCs w:val="20"/>
        </w:rPr>
        <w:t>Foreign Exchange Management (Borrowing and Lending) (Amendment) Regulations, 2022</w:t>
      </w:r>
    </w:p>
    <w:p w:rsidR="00213882" w:rsidRPr="00583041" w:rsidRDefault="00213882" w:rsidP="00213882">
      <w:pPr>
        <w:spacing w:after="0"/>
        <w:jc w:val="both"/>
        <w:rPr>
          <w:rFonts w:ascii="Arial" w:hAnsi="Arial" w:cs="Arial"/>
          <w:sz w:val="20"/>
          <w:szCs w:val="20"/>
        </w:rPr>
      </w:pPr>
    </w:p>
    <w:p w:rsidR="00213882" w:rsidRPr="00583041" w:rsidRDefault="00213882" w:rsidP="00213882">
      <w:pPr>
        <w:spacing w:after="0"/>
        <w:jc w:val="both"/>
        <w:rPr>
          <w:rFonts w:ascii="Arial" w:hAnsi="Arial" w:cs="Arial"/>
          <w:sz w:val="20"/>
          <w:szCs w:val="20"/>
        </w:rPr>
      </w:pPr>
      <w:r w:rsidRPr="00583041">
        <w:rPr>
          <w:rFonts w:ascii="Arial" w:hAnsi="Arial" w:cs="Arial"/>
          <w:sz w:val="20"/>
          <w:szCs w:val="20"/>
        </w:rPr>
        <w:t>Reserve Bank of India</w:t>
      </w:r>
    </w:p>
    <w:p w:rsidR="00213882" w:rsidRPr="00583041" w:rsidRDefault="00213882" w:rsidP="00213882">
      <w:pPr>
        <w:spacing w:after="0"/>
        <w:jc w:val="both"/>
        <w:rPr>
          <w:rFonts w:ascii="Arial" w:hAnsi="Arial" w:cs="Arial"/>
          <w:sz w:val="20"/>
          <w:szCs w:val="20"/>
        </w:rPr>
      </w:pPr>
      <w:r w:rsidRPr="00583041">
        <w:rPr>
          <w:rFonts w:ascii="Arial" w:hAnsi="Arial" w:cs="Arial"/>
          <w:sz w:val="20"/>
          <w:szCs w:val="20"/>
        </w:rPr>
        <w:t>Foreign Exchange Department</w:t>
      </w:r>
    </w:p>
    <w:p w:rsidR="00213882" w:rsidRPr="00583041" w:rsidRDefault="00213882" w:rsidP="00213882">
      <w:pPr>
        <w:spacing w:after="0"/>
        <w:jc w:val="both"/>
        <w:rPr>
          <w:rFonts w:ascii="Arial" w:hAnsi="Arial" w:cs="Arial"/>
          <w:sz w:val="20"/>
          <w:szCs w:val="20"/>
        </w:rPr>
      </w:pPr>
      <w:r w:rsidRPr="00583041">
        <w:rPr>
          <w:rFonts w:ascii="Arial" w:hAnsi="Arial" w:cs="Arial"/>
          <w:sz w:val="20"/>
          <w:szCs w:val="20"/>
        </w:rPr>
        <w:t>Central Office</w:t>
      </w:r>
    </w:p>
    <w:p w:rsidR="00213882" w:rsidRPr="00583041" w:rsidRDefault="00213882" w:rsidP="00213882">
      <w:pPr>
        <w:spacing w:after="0"/>
        <w:jc w:val="both"/>
        <w:rPr>
          <w:rFonts w:ascii="Arial" w:hAnsi="Arial" w:cs="Arial"/>
          <w:sz w:val="20"/>
          <w:szCs w:val="20"/>
        </w:rPr>
      </w:pPr>
      <w:r w:rsidRPr="00583041">
        <w:rPr>
          <w:rFonts w:ascii="Arial" w:hAnsi="Arial" w:cs="Arial"/>
          <w:sz w:val="20"/>
          <w:szCs w:val="20"/>
        </w:rPr>
        <w:t>Mumbai</w:t>
      </w:r>
    </w:p>
    <w:p w:rsidR="00213882" w:rsidRPr="00583041" w:rsidRDefault="00213882" w:rsidP="00213882">
      <w:pPr>
        <w:spacing w:after="0"/>
        <w:jc w:val="both"/>
        <w:rPr>
          <w:rFonts w:ascii="Arial" w:hAnsi="Arial" w:cs="Arial"/>
          <w:sz w:val="20"/>
          <w:szCs w:val="20"/>
        </w:rPr>
      </w:pPr>
    </w:p>
    <w:p w:rsidR="00213882" w:rsidRPr="00583041" w:rsidRDefault="00213882" w:rsidP="00213882">
      <w:pPr>
        <w:spacing w:after="0"/>
        <w:jc w:val="both"/>
        <w:rPr>
          <w:rFonts w:ascii="Arial" w:hAnsi="Arial" w:cs="Arial"/>
          <w:sz w:val="20"/>
          <w:szCs w:val="20"/>
        </w:rPr>
      </w:pPr>
      <w:r w:rsidRPr="00583041">
        <w:rPr>
          <w:rFonts w:ascii="Arial" w:hAnsi="Arial" w:cs="Arial"/>
          <w:sz w:val="20"/>
          <w:szCs w:val="20"/>
        </w:rPr>
        <w:t>Notification No. FEMA.3(R)(3)/2022-RB</w:t>
      </w:r>
    </w:p>
    <w:p w:rsidR="00213882" w:rsidRPr="00583041" w:rsidRDefault="00213882" w:rsidP="00213882">
      <w:pPr>
        <w:spacing w:after="0"/>
        <w:jc w:val="both"/>
        <w:rPr>
          <w:rFonts w:ascii="Arial" w:hAnsi="Arial" w:cs="Arial"/>
          <w:sz w:val="20"/>
          <w:szCs w:val="20"/>
        </w:rPr>
      </w:pPr>
    </w:p>
    <w:p w:rsidR="00213882" w:rsidRPr="00583041" w:rsidRDefault="00213882" w:rsidP="00213882">
      <w:pPr>
        <w:spacing w:after="0"/>
        <w:jc w:val="right"/>
        <w:rPr>
          <w:rFonts w:ascii="Arial" w:hAnsi="Arial" w:cs="Arial"/>
          <w:sz w:val="20"/>
          <w:szCs w:val="20"/>
        </w:rPr>
      </w:pPr>
      <w:r w:rsidRPr="00583041">
        <w:rPr>
          <w:rFonts w:ascii="Arial" w:hAnsi="Arial" w:cs="Arial"/>
          <w:sz w:val="20"/>
          <w:szCs w:val="20"/>
        </w:rPr>
        <w:t>July 28, 2022</w:t>
      </w:r>
    </w:p>
    <w:p w:rsidR="00213882" w:rsidRPr="00583041" w:rsidRDefault="00213882" w:rsidP="00213882">
      <w:pPr>
        <w:spacing w:after="0"/>
        <w:jc w:val="both"/>
        <w:rPr>
          <w:rFonts w:ascii="Arial" w:hAnsi="Arial" w:cs="Arial"/>
          <w:sz w:val="20"/>
          <w:szCs w:val="20"/>
        </w:rPr>
      </w:pPr>
    </w:p>
    <w:p w:rsidR="00213882" w:rsidRPr="00583041" w:rsidRDefault="00213882" w:rsidP="00213882">
      <w:pPr>
        <w:spacing w:after="0"/>
        <w:jc w:val="both"/>
        <w:rPr>
          <w:rFonts w:ascii="Arial" w:hAnsi="Arial" w:cs="Arial"/>
          <w:b/>
          <w:sz w:val="20"/>
          <w:szCs w:val="20"/>
        </w:rPr>
      </w:pPr>
      <w:r w:rsidRPr="00583041">
        <w:rPr>
          <w:rFonts w:ascii="Arial" w:hAnsi="Arial" w:cs="Arial"/>
          <w:b/>
          <w:sz w:val="20"/>
          <w:szCs w:val="20"/>
        </w:rPr>
        <w:t>Foreign Exchange Management (Borrowing and Lending) (Amendment) Regulations, 2022</w:t>
      </w:r>
    </w:p>
    <w:p w:rsidR="00213882" w:rsidRPr="00583041" w:rsidRDefault="00213882" w:rsidP="00213882">
      <w:pPr>
        <w:spacing w:after="0"/>
        <w:jc w:val="both"/>
        <w:rPr>
          <w:rFonts w:ascii="Arial" w:hAnsi="Arial" w:cs="Arial"/>
          <w:sz w:val="20"/>
          <w:szCs w:val="20"/>
        </w:rPr>
      </w:pPr>
    </w:p>
    <w:p w:rsidR="00213882" w:rsidRPr="00583041" w:rsidRDefault="00213882" w:rsidP="00213882">
      <w:pPr>
        <w:spacing w:after="0"/>
        <w:jc w:val="both"/>
        <w:rPr>
          <w:rFonts w:ascii="Arial" w:hAnsi="Arial" w:cs="Arial"/>
          <w:sz w:val="20"/>
          <w:szCs w:val="20"/>
        </w:rPr>
      </w:pPr>
      <w:r w:rsidRPr="00583041">
        <w:rPr>
          <w:rFonts w:ascii="Arial" w:hAnsi="Arial" w:cs="Arial"/>
          <w:sz w:val="20"/>
          <w:szCs w:val="20"/>
        </w:rPr>
        <w:t>In exercise of the powers conferred by sub-section (2) of Section 6 and Section 47 of the Foreign Exchange Management Act, 1999 (42 of 1999), the Reserve Bank of India hereby makes the following amendments to the Foreign Exchange Management (Borrowing and Lending) Regulations, 2018 (Notification No. FEMA.3(R)/2018-RB dated December 17, 2018) (hereinafter referred to as 'the Principal Regulations'), namely:</w:t>
      </w:r>
    </w:p>
    <w:p w:rsidR="00213882" w:rsidRPr="00583041" w:rsidRDefault="00213882" w:rsidP="00213882">
      <w:pPr>
        <w:spacing w:after="0"/>
        <w:jc w:val="both"/>
        <w:rPr>
          <w:rFonts w:ascii="Arial" w:hAnsi="Arial" w:cs="Arial"/>
          <w:sz w:val="20"/>
          <w:szCs w:val="20"/>
        </w:rPr>
      </w:pPr>
    </w:p>
    <w:p w:rsidR="00213882" w:rsidRPr="00583041" w:rsidRDefault="00213882" w:rsidP="00213882">
      <w:pPr>
        <w:spacing w:after="0"/>
        <w:jc w:val="both"/>
        <w:rPr>
          <w:rFonts w:ascii="Arial" w:hAnsi="Arial" w:cs="Arial"/>
          <w:sz w:val="20"/>
          <w:szCs w:val="20"/>
        </w:rPr>
      </w:pPr>
      <w:r w:rsidRPr="00583041">
        <w:rPr>
          <w:rFonts w:ascii="Arial" w:hAnsi="Arial" w:cs="Arial"/>
          <w:sz w:val="20"/>
          <w:szCs w:val="20"/>
        </w:rPr>
        <w:t>1. Short Title &amp; Commencement:</w:t>
      </w:r>
    </w:p>
    <w:p w:rsidR="00213882" w:rsidRPr="00583041" w:rsidRDefault="00213882" w:rsidP="00213882">
      <w:pPr>
        <w:spacing w:after="0"/>
        <w:jc w:val="both"/>
        <w:rPr>
          <w:rFonts w:ascii="Arial" w:hAnsi="Arial" w:cs="Arial"/>
          <w:sz w:val="20"/>
          <w:szCs w:val="20"/>
        </w:rPr>
      </w:pPr>
    </w:p>
    <w:p w:rsidR="00213882" w:rsidRPr="00583041" w:rsidRDefault="00213882" w:rsidP="00213882">
      <w:pPr>
        <w:spacing w:after="0"/>
        <w:jc w:val="both"/>
        <w:rPr>
          <w:rFonts w:ascii="Arial" w:hAnsi="Arial" w:cs="Arial"/>
          <w:sz w:val="20"/>
          <w:szCs w:val="20"/>
        </w:rPr>
      </w:pPr>
      <w:r w:rsidRPr="00583041">
        <w:rPr>
          <w:rFonts w:ascii="Arial" w:hAnsi="Arial" w:cs="Arial"/>
          <w:sz w:val="20"/>
          <w:szCs w:val="20"/>
        </w:rPr>
        <w:t>(i) These Regulations may be called the Foreign Exchange Management (Borrowing and Lending) (Third Amendment) Regulations, 2022.</w:t>
      </w:r>
    </w:p>
    <w:p w:rsidR="00213882" w:rsidRPr="00583041" w:rsidRDefault="00213882" w:rsidP="00213882">
      <w:pPr>
        <w:spacing w:after="0"/>
        <w:jc w:val="both"/>
        <w:rPr>
          <w:rFonts w:ascii="Arial" w:hAnsi="Arial" w:cs="Arial"/>
          <w:sz w:val="20"/>
          <w:szCs w:val="20"/>
        </w:rPr>
      </w:pPr>
    </w:p>
    <w:p w:rsidR="00213882" w:rsidRPr="00583041" w:rsidRDefault="00213882" w:rsidP="00213882">
      <w:pPr>
        <w:spacing w:after="0"/>
        <w:jc w:val="both"/>
        <w:rPr>
          <w:rFonts w:ascii="Arial" w:hAnsi="Arial" w:cs="Arial"/>
          <w:sz w:val="20"/>
          <w:szCs w:val="20"/>
        </w:rPr>
      </w:pPr>
      <w:r w:rsidRPr="00583041">
        <w:rPr>
          <w:rFonts w:ascii="Arial" w:hAnsi="Arial" w:cs="Arial"/>
          <w:sz w:val="20"/>
          <w:szCs w:val="20"/>
        </w:rPr>
        <w:t>(ii) They shall come into force from the date of notification in the official gazette.</w:t>
      </w:r>
    </w:p>
    <w:p w:rsidR="00213882" w:rsidRPr="00583041" w:rsidRDefault="00213882" w:rsidP="00213882">
      <w:pPr>
        <w:spacing w:after="0"/>
        <w:jc w:val="both"/>
        <w:rPr>
          <w:rFonts w:ascii="Arial" w:hAnsi="Arial" w:cs="Arial"/>
          <w:sz w:val="20"/>
          <w:szCs w:val="20"/>
        </w:rPr>
      </w:pPr>
    </w:p>
    <w:p w:rsidR="00213882" w:rsidRPr="00583041" w:rsidRDefault="00213882" w:rsidP="00213882">
      <w:pPr>
        <w:spacing w:after="0"/>
        <w:jc w:val="both"/>
        <w:rPr>
          <w:rFonts w:ascii="Arial" w:hAnsi="Arial" w:cs="Arial"/>
          <w:sz w:val="20"/>
          <w:szCs w:val="20"/>
        </w:rPr>
      </w:pPr>
      <w:r w:rsidRPr="00583041">
        <w:rPr>
          <w:rFonts w:ascii="Arial" w:hAnsi="Arial" w:cs="Arial"/>
          <w:sz w:val="20"/>
          <w:szCs w:val="20"/>
        </w:rPr>
        <w:t>2. Amendment to Paragraph 2 of Schedule 1:</w:t>
      </w:r>
    </w:p>
    <w:p w:rsidR="00213882" w:rsidRPr="00583041" w:rsidRDefault="00213882" w:rsidP="00213882">
      <w:pPr>
        <w:spacing w:after="0"/>
        <w:jc w:val="both"/>
        <w:rPr>
          <w:rFonts w:ascii="Arial" w:hAnsi="Arial" w:cs="Arial"/>
          <w:sz w:val="20"/>
          <w:szCs w:val="20"/>
        </w:rPr>
      </w:pPr>
    </w:p>
    <w:p w:rsidR="00213882" w:rsidRPr="00583041" w:rsidRDefault="00213882" w:rsidP="00213882">
      <w:pPr>
        <w:spacing w:after="0"/>
        <w:jc w:val="both"/>
        <w:rPr>
          <w:rFonts w:ascii="Arial" w:hAnsi="Arial" w:cs="Arial"/>
          <w:sz w:val="20"/>
          <w:szCs w:val="20"/>
        </w:rPr>
      </w:pPr>
      <w:r w:rsidRPr="00583041">
        <w:rPr>
          <w:rFonts w:ascii="Arial" w:hAnsi="Arial" w:cs="Arial"/>
          <w:sz w:val="20"/>
          <w:szCs w:val="20"/>
        </w:rPr>
        <w:t>After Paragraph 8 of Schedule 1 to the Principal Regulations, the following shall be added;</w:t>
      </w:r>
    </w:p>
    <w:p w:rsidR="00213882" w:rsidRPr="00583041" w:rsidRDefault="00213882" w:rsidP="00213882">
      <w:pPr>
        <w:spacing w:after="0"/>
        <w:jc w:val="both"/>
        <w:rPr>
          <w:rFonts w:ascii="Arial" w:hAnsi="Arial" w:cs="Arial"/>
          <w:sz w:val="20"/>
          <w:szCs w:val="20"/>
        </w:rPr>
      </w:pPr>
    </w:p>
    <w:p w:rsidR="00213882" w:rsidRPr="00583041" w:rsidRDefault="00213882" w:rsidP="00213882">
      <w:pPr>
        <w:spacing w:after="0"/>
        <w:jc w:val="both"/>
        <w:rPr>
          <w:rFonts w:ascii="Arial" w:hAnsi="Arial" w:cs="Arial"/>
          <w:sz w:val="20"/>
          <w:szCs w:val="20"/>
        </w:rPr>
      </w:pPr>
      <w:r w:rsidRPr="00583041">
        <w:rPr>
          <w:rFonts w:ascii="Arial" w:hAnsi="Arial" w:cs="Arial"/>
          <w:sz w:val="20"/>
          <w:szCs w:val="20"/>
        </w:rPr>
        <w:t>“8A: The limit of USD 750 million or equivalent per financial year is temporarily increased to USD 1500 million or equivalent. This dispensation will be available for ECBs raised till December 31, 2022.”</w:t>
      </w:r>
    </w:p>
    <w:p w:rsidR="00213882" w:rsidRPr="00583041" w:rsidRDefault="00213882" w:rsidP="00213882">
      <w:pPr>
        <w:spacing w:after="0"/>
        <w:jc w:val="both"/>
        <w:rPr>
          <w:rFonts w:ascii="Arial" w:hAnsi="Arial" w:cs="Arial"/>
          <w:sz w:val="20"/>
          <w:szCs w:val="20"/>
        </w:rPr>
      </w:pPr>
    </w:p>
    <w:p w:rsidR="00213882" w:rsidRPr="00583041" w:rsidRDefault="00213882" w:rsidP="00213882">
      <w:pPr>
        <w:spacing w:after="0"/>
        <w:jc w:val="both"/>
        <w:rPr>
          <w:rFonts w:ascii="Arial" w:hAnsi="Arial" w:cs="Arial"/>
          <w:sz w:val="20"/>
          <w:szCs w:val="20"/>
        </w:rPr>
      </w:pPr>
      <w:r w:rsidRPr="00583041">
        <w:rPr>
          <w:rFonts w:ascii="Arial" w:hAnsi="Arial" w:cs="Arial"/>
          <w:sz w:val="20"/>
          <w:szCs w:val="20"/>
        </w:rPr>
        <w:t xml:space="preserve">(Ajay Kumar </w:t>
      </w:r>
      <w:proofErr w:type="spellStart"/>
      <w:r w:rsidRPr="00583041">
        <w:rPr>
          <w:rFonts w:ascii="Arial" w:hAnsi="Arial" w:cs="Arial"/>
          <w:sz w:val="20"/>
          <w:szCs w:val="20"/>
        </w:rPr>
        <w:t>Misra</w:t>
      </w:r>
      <w:proofErr w:type="spellEnd"/>
      <w:r w:rsidRPr="00583041">
        <w:rPr>
          <w:rFonts w:ascii="Arial" w:hAnsi="Arial" w:cs="Arial"/>
          <w:sz w:val="20"/>
          <w:szCs w:val="20"/>
        </w:rPr>
        <w:t>)</w:t>
      </w:r>
    </w:p>
    <w:p w:rsidR="00213882" w:rsidRDefault="00213882" w:rsidP="00213882">
      <w:pPr>
        <w:spacing w:after="0"/>
        <w:jc w:val="both"/>
        <w:rPr>
          <w:rFonts w:ascii="Arial" w:hAnsi="Arial" w:cs="Arial"/>
          <w:sz w:val="20"/>
          <w:szCs w:val="20"/>
        </w:rPr>
      </w:pPr>
      <w:r w:rsidRPr="00583041">
        <w:rPr>
          <w:rFonts w:ascii="Arial" w:hAnsi="Arial" w:cs="Arial"/>
          <w:sz w:val="20"/>
          <w:szCs w:val="20"/>
        </w:rPr>
        <w:t>Chief General Manager-in-charge</w:t>
      </w:r>
    </w:p>
    <w:p w:rsidR="00213882" w:rsidRDefault="00213882" w:rsidP="00213882"/>
    <w:p w:rsidR="00213882" w:rsidRDefault="00213882" w:rsidP="00213882"/>
    <w:p w:rsidR="00213882" w:rsidRDefault="00213882" w:rsidP="00213882">
      <w:r>
        <w:t>More details can be referred to in the below link.</w:t>
      </w:r>
    </w:p>
    <w:p w:rsidR="00213882" w:rsidRDefault="00213882" w:rsidP="00213882">
      <w:pPr>
        <w:rPr>
          <w:rFonts w:ascii="Arial" w:hAnsi="Arial" w:cs="Arial"/>
          <w:sz w:val="20"/>
          <w:szCs w:val="20"/>
        </w:rPr>
      </w:pPr>
      <w:r>
        <w:rPr>
          <w:rFonts w:ascii="Arial" w:hAnsi="Arial" w:cs="Arial"/>
          <w:sz w:val="20"/>
          <w:szCs w:val="20"/>
        </w:rPr>
        <w:t xml:space="preserve">Reference Link: </w:t>
      </w:r>
      <w:hyperlink r:id="rId8" w:anchor=":~:text=%E2%80%9C8A%3A%20The%20limit%20of%20USD,till%20December%2031%2C%202022.%E2%80%9D&amp;text=Foot%20Note%3A%20%2D%20The%20Principal%20Regulations,No" w:history="1">
        <w:r w:rsidRPr="00200311">
          <w:rPr>
            <w:rStyle w:val="Hyperlink"/>
            <w:rFonts w:ascii="Arial" w:hAnsi="Arial" w:cs="Arial"/>
            <w:sz w:val="20"/>
            <w:szCs w:val="20"/>
          </w:rPr>
          <w:t>https://www.rbi.org.in/scripts/FS_Notification.aspx?Id=12377&amp;fn=5&amp;Mode=0#:~:text=%E2%80%9C8A%3A%20The%20limit%20of%20USD,till%20December%2031%2C%202022.%E2%80%9D&amp;text=Foot%20Note%3A%20%2D%20The%20Principal%20Regulations,No</w:t>
        </w:r>
      </w:hyperlink>
      <w:r w:rsidRPr="002A3764">
        <w:rPr>
          <w:rFonts w:ascii="Arial" w:hAnsi="Arial" w:cs="Arial"/>
          <w:sz w:val="20"/>
          <w:szCs w:val="20"/>
        </w:rPr>
        <w:t>.</w:t>
      </w:r>
    </w:p>
    <w:p w:rsidR="00213882" w:rsidRDefault="00213882" w:rsidP="00213882">
      <w:pPr>
        <w:rPr>
          <w:rFonts w:ascii="Arial" w:hAnsi="Arial" w:cs="Arial"/>
          <w:sz w:val="20"/>
          <w:szCs w:val="20"/>
        </w:rPr>
      </w:pPr>
    </w:p>
    <w:p w:rsidR="00213882" w:rsidRDefault="00213882" w:rsidP="00213882">
      <w:pPr>
        <w:rPr>
          <w:rFonts w:ascii="Arial" w:hAnsi="Arial" w:cs="Arial"/>
          <w:sz w:val="20"/>
          <w:szCs w:val="20"/>
        </w:rPr>
      </w:pPr>
    </w:p>
    <w:p w:rsidR="00213882" w:rsidRDefault="00213882" w:rsidP="00213882">
      <w:pPr>
        <w:rPr>
          <w:rFonts w:ascii="Arial" w:hAnsi="Arial" w:cs="Arial"/>
          <w:sz w:val="20"/>
          <w:szCs w:val="20"/>
        </w:rPr>
      </w:pPr>
    </w:p>
    <w:p w:rsidR="00213882" w:rsidRDefault="00213882" w:rsidP="00213882">
      <w:pPr>
        <w:rPr>
          <w:rFonts w:ascii="Arial" w:hAnsi="Arial" w:cs="Arial"/>
          <w:sz w:val="20"/>
          <w:szCs w:val="20"/>
        </w:rPr>
      </w:pPr>
    </w:p>
    <w:p w:rsidR="00213882" w:rsidRDefault="00213882" w:rsidP="00213882">
      <w:pPr>
        <w:spacing w:line="259" w:lineRule="auto"/>
        <w:rPr>
          <w:rFonts w:ascii="Arial" w:hAnsi="Arial" w:cs="Arial"/>
          <w:sz w:val="20"/>
          <w:szCs w:val="20"/>
        </w:rPr>
      </w:pPr>
    </w:p>
    <w:p w:rsidR="00213882" w:rsidRDefault="00213882" w:rsidP="00213882">
      <w:pPr>
        <w:spacing w:line="259" w:lineRule="auto"/>
        <w:rPr>
          <w:rFonts w:ascii="Arial" w:hAnsi="Arial" w:cs="Arial"/>
          <w:sz w:val="20"/>
          <w:szCs w:val="20"/>
        </w:rPr>
      </w:pPr>
    </w:p>
    <w:p w:rsidR="00213882" w:rsidRDefault="00213882" w:rsidP="00213882">
      <w:pPr>
        <w:spacing w:line="259" w:lineRule="auto"/>
        <w:rPr>
          <w:rFonts w:ascii="Arial" w:hAnsi="Arial" w:cs="Arial"/>
          <w:sz w:val="20"/>
          <w:szCs w:val="20"/>
        </w:rPr>
      </w:pPr>
      <w:r>
        <w:rPr>
          <w:rFonts w:ascii="Arial" w:hAnsi="Arial" w:cs="Arial"/>
          <w:b/>
          <w:bCs/>
          <w:color w:val="000000"/>
          <w:sz w:val="20"/>
          <w:szCs w:val="20"/>
        </w:rPr>
        <w:t>Master Circular - Credit facilities to Scheduled Castes (SCs) &amp; Scheduled Tribes (STs)</w:t>
      </w:r>
    </w:p>
    <w:p w:rsidR="00213882" w:rsidRDefault="00213882" w:rsidP="00213882">
      <w:pPr>
        <w:pStyle w:val="NormalWeb"/>
        <w:rPr>
          <w:rFonts w:ascii="Arial" w:hAnsi="Arial" w:cs="Arial"/>
          <w:color w:val="000000"/>
          <w:sz w:val="20"/>
          <w:szCs w:val="20"/>
        </w:rPr>
      </w:pPr>
      <w:r>
        <w:rPr>
          <w:rFonts w:ascii="Arial" w:hAnsi="Arial" w:cs="Arial"/>
          <w:color w:val="000000"/>
          <w:sz w:val="20"/>
          <w:szCs w:val="20"/>
        </w:rPr>
        <w:t>RBI/2022-2023/97</w:t>
      </w:r>
      <w:r>
        <w:rPr>
          <w:rFonts w:ascii="Arial" w:hAnsi="Arial" w:cs="Arial"/>
          <w:color w:val="000000"/>
          <w:sz w:val="20"/>
          <w:szCs w:val="20"/>
        </w:rPr>
        <w:br/>
        <w:t>FIDD.CO.GSSD.BC.No.10/09.09.001/2022-23</w:t>
      </w:r>
    </w:p>
    <w:p w:rsidR="00213882" w:rsidRDefault="00213882" w:rsidP="00213882">
      <w:pPr>
        <w:pStyle w:val="NormalWeb"/>
        <w:jc w:val="right"/>
        <w:rPr>
          <w:rFonts w:ascii="Arial" w:hAnsi="Arial" w:cs="Arial"/>
          <w:color w:val="000000"/>
          <w:sz w:val="20"/>
          <w:szCs w:val="20"/>
        </w:rPr>
      </w:pPr>
      <w:r>
        <w:rPr>
          <w:rFonts w:ascii="Arial" w:hAnsi="Arial" w:cs="Arial"/>
          <w:color w:val="000000"/>
          <w:sz w:val="20"/>
          <w:szCs w:val="20"/>
        </w:rPr>
        <w:t>August 1, 2022</w:t>
      </w:r>
    </w:p>
    <w:p w:rsidR="00213882" w:rsidRDefault="00213882" w:rsidP="00213882">
      <w:pPr>
        <w:pStyle w:val="NormalWeb"/>
        <w:rPr>
          <w:rFonts w:ascii="Arial" w:hAnsi="Arial" w:cs="Arial"/>
          <w:color w:val="000000"/>
          <w:sz w:val="20"/>
          <w:szCs w:val="20"/>
        </w:rPr>
      </w:pPr>
      <w:r>
        <w:rPr>
          <w:rFonts w:ascii="Arial" w:hAnsi="Arial" w:cs="Arial"/>
          <w:color w:val="000000"/>
          <w:sz w:val="20"/>
          <w:szCs w:val="20"/>
        </w:rPr>
        <w:t>The Chairman/ Managing Director / Chief Executive Officer</w:t>
      </w:r>
      <w:r>
        <w:rPr>
          <w:rFonts w:ascii="Arial" w:hAnsi="Arial" w:cs="Arial"/>
          <w:color w:val="000000"/>
          <w:sz w:val="20"/>
          <w:szCs w:val="20"/>
        </w:rPr>
        <w:br/>
        <w:t>All Scheduled Commercial Banks (including Small Finance Banks)</w:t>
      </w:r>
    </w:p>
    <w:p w:rsidR="00213882" w:rsidRDefault="00213882" w:rsidP="00213882">
      <w:pPr>
        <w:pStyle w:val="NormalWeb"/>
        <w:rPr>
          <w:rFonts w:ascii="Arial" w:hAnsi="Arial" w:cs="Arial"/>
          <w:color w:val="000000"/>
          <w:sz w:val="20"/>
          <w:szCs w:val="20"/>
        </w:rPr>
      </w:pPr>
      <w:r>
        <w:rPr>
          <w:rFonts w:ascii="Arial" w:hAnsi="Arial" w:cs="Arial"/>
          <w:color w:val="000000"/>
          <w:sz w:val="20"/>
          <w:szCs w:val="20"/>
        </w:rPr>
        <w:t>Madam/ Dear Sir,</w:t>
      </w:r>
    </w:p>
    <w:p w:rsidR="00213882" w:rsidRDefault="00213882" w:rsidP="00213882">
      <w:pPr>
        <w:pStyle w:val="head"/>
        <w:rPr>
          <w:rFonts w:ascii="Arial" w:hAnsi="Arial" w:cs="Arial"/>
          <w:b/>
          <w:bCs/>
          <w:color w:val="000000"/>
          <w:sz w:val="20"/>
          <w:szCs w:val="20"/>
        </w:rPr>
      </w:pPr>
      <w:r>
        <w:rPr>
          <w:rFonts w:ascii="Arial" w:hAnsi="Arial" w:cs="Arial"/>
          <w:b/>
          <w:bCs/>
          <w:color w:val="000000"/>
          <w:sz w:val="20"/>
          <w:szCs w:val="20"/>
        </w:rPr>
        <w:t>Master Circular - Credit facilities to Scheduled Castes (SCs) &amp; Scheduled Tribes (STs)</w:t>
      </w:r>
    </w:p>
    <w:p w:rsidR="00213882" w:rsidRDefault="00213882" w:rsidP="00213882">
      <w:pPr>
        <w:pStyle w:val="NormalWeb"/>
        <w:rPr>
          <w:rFonts w:ascii="Arial" w:hAnsi="Arial" w:cs="Arial"/>
          <w:color w:val="000000"/>
          <w:sz w:val="20"/>
          <w:szCs w:val="20"/>
        </w:rPr>
      </w:pPr>
      <w:r>
        <w:rPr>
          <w:rFonts w:ascii="Arial" w:hAnsi="Arial" w:cs="Arial"/>
          <w:color w:val="000000"/>
          <w:sz w:val="20"/>
          <w:szCs w:val="20"/>
        </w:rPr>
        <w:t>The Reserve Bank of India has, from time to time, issued a number of guidelines/instructions to banks on credit facilities to Scheduled Castes (SCs) &amp; Scheduled Tribes (STs). The enclosed </w:t>
      </w:r>
      <w:hyperlink r:id="rId9" w:anchor="MC1" w:history="1">
        <w:r>
          <w:rPr>
            <w:rStyle w:val="Hyperlink"/>
            <w:rFonts w:ascii="Arial" w:hAnsi="Arial" w:cs="Arial"/>
            <w:sz w:val="20"/>
            <w:szCs w:val="20"/>
          </w:rPr>
          <w:t>Master Circular</w:t>
        </w:r>
      </w:hyperlink>
      <w:r>
        <w:rPr>
          <w:rFonts w:ascii="Arial" w:hAnsi="Arial" w:cs="Arial"/>
          <w:color w:val="000000"/>
          <w:sz w:val="20"/>
          <w:szCs w:val="20"/>
        </w:rPr>
        <w:t> consolidates the circulars issued by Reserve Bank on the subject till date, as listed</w:t>
      </w:r>
      <w:r w:rsidR="00556D17">
        <w:rPr>
          <w:rFonts w:ascii="Arial" w:hAnsi="Arial" w:cs="Arial"/>
          <w:color w:val="000000"/>
          <w:sz w:val="20"/>
          <w:szCs w:val="20"/>
        </w:rPr>
        <w:t xml:space="preserve"> in the below points</w:t>
      </w:r>
      <w:r>
        <w:rPr>
          <w:rFonts w:ascii="Arial" w:hAnsi="Arial" w:cs="Arial"/>
          <w:color w:val="000000"/>
          <w:sz w:val="20"/>
          <w:szCs w:val="20"/>
        </w:rPr>
        <w:t>.</w:t>
      </w:r>
    </w:p>
    <w:p w:rsidR="00556D17" w:rsidRPr="00556D17" w:rsidRDefault="00556D17" w:rsidP="00213882">
      <w:pPr>
        <w:pStyle w:val="NormalWeb"/>
        <w:rPr>
          <w:rFonts w:ascii="Arial" w:hAnsi="Arial" w:cs="Arial"/>
          <w:color w:val="000000"/>
          <w:sz w:val="20"/>
          <w:szCs w:val="20"/>
        </w:rPr>
      </w:pPr>
      <w:r w:rsidRPr="00556D17">
        <w:rPr>
          <w:rFonts w:ascii="Arial" w:hAnsi="Arial" w:cs="Arial"/>
          <w:bCs/>
          <w:color w:val="000000"/>
          <w:sz w:val="20"/>
          <w:szCs w:val="20"/>
        </w:rPr>
        <w:t>1. Planning Process</w:t>
      </w:r>
    </w:p>
    <w:p w:rsidR="00556D17" w:rsidRPr="00556D17" w:rsidRDefault="00556D17" w:rsidP="00213882">
      <w:pPr>
        <w:pStyle w:val="NormalWeb"/>
        <w:rPr>
          <w:rFonts w:ascii="Arial" w:hAnsi="Arial" w:cs="Arial"/>
          <w:bCs/>
          <w:color w:val="000000"/>
          <w:sz w:val="20"/>
          <w:szCs w:val="20"/>
        </w:rPr>
      </w:pPr>
      <w:r w:rsidRPr="00556D17">
        <w:rPr>
          <w:rFonts w:ascii="Arial" w:hAnsi="Arial" w:cs="Arial"/>
          <w:bCs/>
          <w:color w:val="000000"/>
          <w:sz w:val="20"/>
          <w:szCs w:val="20"/>
        </w:rPr>
        <w:t>2. Role of Banks</w:t>
      </w:r>
    </w:p>
    <w:p w:rsidR="00556D17" w:rsidRPr="00556D17" w:rsidRDefault="00556D17" w:rsidP="00213882">
      <w:pPr>
        <w:pStyle w:val="NormalWeb"/>
        <w:rPr>
          <w:rFonts w:ascii="Arial" w:hAnsi="Arial" w:cs="Arial"/>
          <w:bCs/>
          <w:color w:val="000000"/>
          <w:sz w:val="20"/>
          <w:szCs w:val="20"/>
        </w:rPr>
      </w:pPr>
      <w:r w:rsidRPr="00556D17">
        <w:rPr>
          <w:rFonts w:ascii="Arial" w:hAnsi="Arial" w:cs="Arial"/>
          <w:bCs/>
          <w:color w:val="000000"/>
          <w:sz w:val="20"/>
          <w:szCs w:val="20"/>
        </w:rPr>
        <w:t>3. Role of SC/ST Development Corporations</w:t>
      </w:r>
    </w:p>
    <w:p w:rsidR="00556D17" w:rsidRPr="00556D17" w:rsidRDefault="00556D17" w:rsidP="00213882">
      <w:pPr>
        <w:pStyle w:val="NormalWeb"/>
        <w:rPr>
          <w:rFonts w:ascii="Arial" w:hAnsi="Arial" w:cs="Arial"/>
          <w:bCs/>
          <w:color w:val="000000"/>
          <w:sz w:val="20"/>
          <w:szCs w:val="20"/>
        </w:rPr>
      </w:pPr>
      <w:r w:rsidRPr="00556D17">
        <w:rPr>
          <w:rFonts w:ascii="Arial" w:hAnsi="Arial" w:cs="Arial"/>
          <w:bCs/>
          <w:color w:val="000000"/>
          <w:sz w:val="20"/>
          <w:szCs w:val="20"/>
        </w:rPr>
        <w:t>4. Reservations for SC/ST beneficiaries under major Centrally Sponsored Schemes.</w:t>
      </w:r>
    </w:p>
    <w:p w:rsidR="00556D17" w:rsidRPr="00556D17" w:rsidRDefault="00556D17" w:rsidP="00213882">
      <w:pPr>
        <w:pStyle w:val="NormalWeb"/>
        <w:rPr>
          <w:rFonts w:ascii="Arial" w:hAnsi="Arial" w:cs="Arial"/>
          <w:bCs/>
          <w:color w:val="000000"/>
          <w:sz w:val="20"/>
          <w:szCs w:val="20"/>
        </w:rPr>
      </w:pPr>
      <w:r w:rsidRPr="00556D17">
        <w:rPr>
          <w:rFonts w:ascii="Arial" w:hAnsi="Arial" w:cs="Arial"/>
          <w:bCs/>
          <w:color w:val="000000"/>
          <w:sz w:val="20"/>
          <w:szCs w:val="20"/>
        </w:rPr>
        <w:t>5. Credit Enhancement Guarantee Scheme for Scheduled Castes (CEGSSC)</w:t>
      </w:r>
    </w:p>
    <w:p w:rsidR="00556D17" w:rsidRPr="00556D17" w:rsidRDefault="00556D17" w:rsidP="00213882">
      <w:pPr>
        <w:pStyle w:val="NormalWeb"/>
        <w:rPr>
          <w:rFonts w:ascii="Arial" w:hAnsi="Arial" w:cs="Arial"/>
          <w:bCs/>
          <w:color w:val="000000"/>
          <w:sz w:val="20"/>
          <w:szCs w:val="20"/>
        </w:rPr>
      </w:pPr>
      <w:r w:rsidRPr="00556D17">
        <w:rPr>
          <w:rFonts w:ascii="Arial" w:hAnsi="Arial" w:cs="Arial"/>
          <w:bCs/>
          <w:color w:val="000000"/>
          <w:sz w:val="20"/>
          <w:szCs w:val="20"/>
        </w:rPr>
        <w:t>6. Monitoring and Review</w:t>
      </w:r>
    </w:p>
    <w:p w:rsidR="00556D17" w:rsidRPr="00556D17" w:rsidRDefault="00556D17" w:rsidP="00213882">
      <w:pPr>
        <w:pStyle w:val="NormalWeb"/>
        <w:rPr>
          <w:rFonts w:ascii="Arial" w:hAnsi="Arial" w:cs="Arial"/>
          <w:color w:val="000000"/>
          <w:sz w:val="20"/>
          <w:szCs w:val="20"/>
        </w:rPr>
      </w:pPr>
      <w:r w:rsidRPr="00556D17">
        <w:rPr>
          <w:rFonts w:ascii="Arial" w:hAnsi="Arial" w:cs="Arial"/>
          <w:bCs/>
          <w:color w:val="000000"/>
          <w:sz w:val="20"/>
          <w:szCs w:val="20"/>
        </w:rPr>
        <w:t>7. Reporting Requirements</w:t>
      </w:r>
    </w:p>
    <w:p w:rsidR="00213882" w:rsidRDefault="00213882" w:rsidP="00213882">
      <w:pPr>
        <w:pStyle w:val="NormalWeb"/>
        <w:rPr>
          <w:rFonts w:ascii="Arial" w:hAnsi="Arial" w:cs="Arial"/>
          <w:color w:val="000000"/>
          <w:sz w:val="20"/>
          <w:szCs w:val="20"/>
        </w:rPr>
      </w:pPr>
      <w:r>
        <w:rPr>
          <w:rFonts w:ascii="Arial" w:hAnsi="Arial" w:cs="Arial"/>
          <w:color w:val="000000"/>
          <w:sz w:val="20"/>
          <w:szCs w:val="20"/>
        </w:rPr>
        <w:t>Yours faithfully,</w:t>
      </w:r>
    </w:p>
    <w:p w:rsidR="00213882" w:rsidRDefault="00213882" w:rsidP="00213882">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Nisha</w:t>
      </w:r>
      <w:proofErr w:type="spellEnd"/>
      <w:r>
        <w:rPr>
          <w:rFonts w:ascii="Arial" w:hAnsi="Arial" w:cs="Arial"/>
          <w:color w:val="000000"/>
          <w:sz w:val="20"/>
          <w:szCs w:val="20"/>
        </w:rPr>
        <w:t xml:space="preserve"> </w:t>
      </w:r>
      <w:proofErr w:type="spellStart"/>
      <w:r>
        <w:rPr>
          <w:rFonts w:ascii="Arial" w:hAnsi="Arial" w:cs="Arial"/>
          <w:color w:val="000000"/>
          <w:sz w:val="20"/>
          <w:szCs w:val="20"/>
        </w:rPr>
        <w:t>Nambiar</w:t>
      </w:r>
      <w:proofErr w:type="spellEnd"/>
      <w:r>
        <w:rPr>
          <w:rFonts w:ascii="Arial" w:hAnsi="Arial" w:cs="Arial"/>
          <w:color w:val="000000"/>
          <w:sz w:val="20"/>
          <w:szCs w:val="20"/>
        </w:rPr>
        <w:t>)</w:t>
      </w:r>
      <w:r>
        <w:rPr>
          <w:rFonts w:ascii="Arial" w:hAnsi="Arial" w:cs="Arial"/>
          <w:color w:val="000000"/>
          <w:sz w:val="20"/>
          <w:szCs w:val="20"/>
        </w:rPr>
        <w:br/>
        <w:t>Chief General Manager</w:t>
      </w:r>
    </w:p>
    <w:p w:rsidR="00213882" w:rsidRDefault="00213882" w:rsidP="00213882">
      <w:pPr>
        <w:spacing w:line="259" w:lineRule="auto"/>
        <w:rPr>
          <w:rFonts w:ascii="Arial" w:hAnsi="Arial" w:cs="Arial"/>
          <w:sz w:val="20"/>
          <w:szCs w:val="20"/>
        </w:rPr>
      </w:pPr>
    </w:p>
    <w:p w:rsidR="00213882" w:rsidRDefault="00213882" w:rsidP="00213882">
      <w:pPr>
        <w:spacing w:line="259" w:lineRule="auto"/>
        <w:rPr>
          <w:rFonts w:ascii="Arial" w:hAnsi="Arial" w:cs="Arial"/>
          <w:sz w:val="20"/>
          <w:szCs w:val="20"/>
        </w:rPr>
      </w:pPr>
    </w:p>
    <w:p w:rsidR="00213882" w:rsidRDefault="00213882" w:rsidP="00213882">
      <w:pPr>
        <w:spacing w:line="259" w:lineRule="auto"/>
        <w:rPr>
          <w:rFonts w:ascii="Arial" w:hAnsi="Arial" w:cs="Arial"/>
          <w:sz w:val="20"/>
          <w:szCs w:val="20"/>
        </w:rPr>
      </w:pPr>
    </w:p>
    <w:p w:rsidR="00213882" w:rsidRDefault="00213882" w:rsidP="00213882">
      <w:r>
        <w:t>More details can be referred to in the below link.</w:t>
      </w:r>
    </w:p>
    <w:p w:rsidR="00213882" w:rsidRDefault="00213882" w:rsidP="00213882">
      <w:pPr>
        <w:spacing w:line="259" w:lineRule="auto"/>
        <w:rPr>
          <w:rFonts w:ascii="Arial" w:hAnsi="Arial" w:cs="Arial"/>
          <w:bCs/>
          <w:color w:val="000000"/>
          <w:sz w:val="20"/>
          <w:szCs w:val="20"/>
        </w:rPr>
      </w:pPr>
      <w:r>
        <w:rPr>
          <w:rFonts w:ascii="Arial" w:hAnsi="Arial" w:cs="Arial"/>
          <w:bCs/>
          <w:color w:val="000000"/>
          <w:sz w:val="20"/>
          <w:szCs w:val="20"/>
        </w:rPr>
        <w:t xml:space="preserve">Reference Link: </w:t>
      </w:r>
      <w:hyperlink r:id="rId10" w:history="1">
        <w:r w:rsidRPr="006865D6">
          <w:rPr>
            <w:rStyle w:val="Hyperlink"/>
            <w:rFonts w:ascii="Arial" w:hAnsi="Arial" w:cs="Arial"/>
            <w:bCs/>
            <w:sz w:val="20"/>
            <w:szCs w:val="20"/>
          </w:rPr>
          <w:t>https://www.rbi.org.in/scripts/NotificationUser.aspx?Id=12365&amp;Mode=0</w:t>
        </w:r>
      </w:hyperlink>
    </w:p>
    <w:p w:rsidR="00213882" w:rsidRDefault="00213882" w:rsidP="00213882">
      <w:pPr>
        <w:spacing w:line="259" w:lineRule="auto"/>
        <w:rPr>
          <w:rFonts w:ascii="Arial" w:hAnsi="Arial" w:cs="Arial"/>
          <w:bCs/>
          <w:color w:val="000000"/>
          <w:sz w:val="20"/>
          <w:szCs w:val="20"/>
        </w:rPr>
      </w:pPr>
    </w:p>
    <w:p w:rsidR="00213882" w:rsidRDefault="00213882" w:rsidP="00213882">
      <w:pPr>
        <w:spacing w:line="259" w:lineRule="auto"/>
        <w:rPr>
          <w:rFonts w:ascii="Arial" w:hAnsi="Arial" w:cs="Arial"/>
          <w:bCs/>
          <w:color w:val="000000"/>
          <w:sz w:val="20"/>
          <w:szCs w:val="20"/>
        </w:rPr>
      </w:pPr>
    </w:p>
    <w:p w:rsidR="00213882" w:rsidRDefault="00213882" w:rsidP="00213882">
      <w:pPr>
        <w:spacing w:line="259" w:lineRule="auto"/>
        <w:rPr>
          <w:rFonts w:ascii="Arial" w:hAnsi="Arial" w:cs="Arial"/>
          <w:bCs/>
          <w:color w:val="000000"/>
          <w:sz w:val="20"/>
          <w:szCs w:val="20"/>
        </w:rPr>
      </w:pPr>
    </w:p>
    <w:p w:rsidR="00213882" w:rsidRDefault="00213882" w:rsidP="00213882">
      <w:pPr>
        <w:spacing w:line="259" w:lineRule="auto"/>
        <w:rPr>
          <w:rFonts w:ascii="Arial" w:hAnsi="Arial" w:cs="Arial"/>
          <w:bCs/>
          <w:color w:val="000000"/>
          <w:sz w:val="20"/>
          <w:szCs w:val="20"/>
        </w:rPr>
      </w:pPr>
    </w:p>
    <w:p w:rsidR="00213882" w:rsidRDefault="00213882" w:rsidP="00213882">
      <w:pPr>
        <w:spacing w:line="259" w:lineRule="auto"/>
        <w:rPr>
          <w:rFonts w:ascii="Arial" w:hAnsi="Arial" w:cs="Arial"/>
          <w:sz w:val="20"/>
          <w:szCs w:val="20"/>
        </w:rPr>
      </w:pPr>
    </w:p>
    <w:p w:rsidR="00213882" w:rsidRPr="00583041" w:rsidRDefault="00213882" w:rsidP="00213882">
      <w:pPr>
        <w:spacing w:line="240" w:lineRule="auto"/>
        <w:rPr>
          <w:rFonts w:ascii="Arial" w:hAnsi="Arial" w:cs="Arial"/>
          <w:sz w:val="20"/>
          <w:szCs w:val="20"/>
        </w:rPr>
      </w:pPr>
      <w:r w:rsidRPr="00583041">
        <w:rPr>
          <w:rFonts w:ascii="Arial" w:hAnsi="Arial" w:cs="Arial"/>
          <w:b/>
          <w:bCs/>
          <w:sz w:val="20"/>
          <w:szCs w:val="20"/>
        </w:rPr>
        <w:t>External Commercial Borrowings (ECB) Policy – Liberalisation Measures</w:t>
      </w:r>
    </w:p>
    <w:tbl>
      <w:tblPr>
        <w:tblW w:w="5000" w:type="pct"/>
        <w:jc w:val="center"/>
        <w:tblCellMar>
          <w:top w:w="15" w:type="dxa"/>
          <w:left w:w="15" w:type="dxa"/>
          <w:bottom w:w="15" w:type="dxa"/>
          <w:right w:w="15" w:type="dxa"/>
        </w:tblCellMar>
        <w:tblLook w:val="04A0" w:firstRow="1" w:lastRow="0" w:firstColumn="1" w:lastColumn="0" w:noHBand="0" w:noVBand="1"/>
      </w:tblPr>
      <w:tblGrid>
        <w:gridCol w:w="9026"/>
      </w:tblGrid>
      <w:tr w:rsidR="00213882" w:rsidRPr="00583041" w:rsidTr="00B67A08">
        <w:trPr>
          <w:jc w:val="center"/>
        </w:trPr>
        <w:tc>
          <w:tcPr>
            <w:tcW w:w="0" w:type="auto"/>
            <w:tcBorders>
              <w:top w:val="nil"/>
              <w:left w:val="nil"/>
              <w:bottom w:val="nil"/>
              <w:right w:val="nil"/>
            </w:tcBorders>
            <w:tcMar>
              <w:top w:w="15" w:type="dxa"/>
              <w:left w:w="45" w:type="dxa"/>
              <w:bottom w:w="15" w:type="dxa"/>
              <w:right w:w="45" w:type="dxa"/>
            </w:tcMar>
            <w:vAlign w:val="center"/>
            <w:hideMark/>
          </w:tcPr>
          <w:p w:rsidR="00213882" w:rsidRPr="00583041" w:rsidRDefault="00213882" w:rsidP="00B67A08">
            <w:pPr>
              <w:pStyle w:val="NormalWeb"/>
              <w:spacing w:before="0" w:beforeAutospacing="0"/>
              <w:rPr>
                <w:rFonts w:ascii="Arial" w:hAnsi="Arial" w:cs="Arial"/>
                <w:sz w:val="20"/>
                <w:szCs w:val="20"/>
              </w:rPr>
            </w:pPr>
            <w:r w:rsidRPr="00583041">
              <w:rPr>
                <w:rFonts w:ascii="Arial" w:hAnsi="Arial" w:cs="Arial"/>
                <w:sz w:val="20"/>
                <w:szCs w:val="20"/>
              </w:rPr>
              <w:t>RBI/2022-23/98</w:t>
            </w:r>
            <w:r w:rsidRPr="00583041">
              <w:rPr>
                <w:rFonts w:ascii="Arial" w:hAnsi="Arial" w:cs="Arial"/>
                <w:sz w:val="20"/>
                <w:szCs w:val="20"/>
              </w:rPr>
              <w:br/>
              <w:t>A.P. (DIR Series) Circular No. 11</w:t>
            </w:r>
          </w:p>
          <w:p w:rsidR="00213882" w:rsidRPr="00583041" w:rsidRDefault="00213882" w:rsidP="00B67A08">
            <w:pPr>
              <w:pStyle w:val="NormalWeb"/>
              <w:spacing w:before="0" w:beforeAutospacing="0"/>
              <w:jc w:val="right"/>
              <w:rPr>
                <w:rFonts w:ascii="Arial" w:hAnsi="Arial" w:cs="Arial"/>
                <w:sz w:val="20"/>
                <w:szCs w:val="20"/>
              </w:rPr>
            </w:pPr>
            <w:r w:rsidRPr="00583041">
              <w:rPr>
                <w:rFonts w:ascii="Arial" w:hAnsi="Arial" w:cs="Arial"/>
                <w:sz w:val="20"/>
                <w:szCs w:val="20"/>
              </w:rPr>
              <w:t>August 1, 2022</w:t>
            </w:r>
          </w:p>
          <w:p w:rsidR="00213882" w:rsidRPr="00583041" w:rsidRDefault="00213882" w:rsidP="00B67A08">
            <w:pPr>
              <w:pStyle w:val="NormalWeb"/>
              <w:spacing w:before="0" w:beforeAutospacing="0" w:after="0" w:afterAutospacing="0"/>
              <w:rPr>
                <w:rFonts w:ascii="Arial" w:hAnsi="Arial" w:cs="Arial"/>
                <w:sz w:val="20"/>
                <w:szCs w:val="20"/>
              </w:rPr>
            </w:pPr>
            <w:r w:rsidRPr="00583041">
              <w:rPr>
                <w:rFonts w:ascii="Arial" w:hAnsi="Arial" w:cs="Arial"/>
                <w:sz w:val="20"/>
                <w:szCs w:val="20"/>
              </w:rPr>
              <w:t>To</w:t>
            </w:r>
          </w:p>
          <w:p w:rsidR="00213882" w:rsidRPr="00583041" w:rsidRDefault="00213882" w:rsidP="00B67A08">
            <w:pPr>
              <w:pStyle w:val="NormalWeb"/>
              <w:spacing w:before="0" w:beforeAutospacing="0" w:after="0" w:afterAutospacing="0"/>
              <w:rPr>
                <w:rFonts w:ascii="Arial" w:hAnsi="Arial" w:cs="Arial"/>
                <w:sz w:val="20"/>
                <w:szCs w:val="20"/>
              </w:rPr>
            </w:pPr>
            <w:r w:rsidRPr="00583041">
              <w:rPr>
                <w:rFonts w:ascii="Arial" w:hAnsi="Arial" w:cs="Arial"/>
                <w:sz w:val="20"/>
                <w:szCs w:val="20"/>
              </w:rPr>
              <w:t>All Category-I Authorised Dealer Banks</w:t>
            </w:r>
          </w:p>
          <w:p w:rsidR="00213882" w:rsidRPr="00CE14AF" w:rsidRDefault="00213882" w:rsidP="00B67A08">
            <w:pPr>
              <w:pStyle w:val="NormalWeb"/>
              <w:spacing w:before="0" w:beforeAutospacing="0" w:after="0" w:afterAutospacing="0"/>
              <w:rPr>
                <w:rFonts w:ascii="Arial" w:hAnsi="Arial" w:cs="Arial"/>
                <w:sz w:val="20"/>
                <w:szCs w:val="20"/>
              </w:rPr>
            </w:pPr>
            <w:r w:rsidRPr="00583041">
              <w:rPr>
                <w:rFonts w:ascii="Arial" w:hAnsi="Arial" w:cs="Arial"/>
                <w:sz w:val="20"/>
                <w:szCs w:val="20"/>
              </w:rPr>
              <w:t>Madam / Sir,</w:t>
            </w:r>
          </w:p>
          <w:p w:rsidR="00213882" w:rsidRPr="00583041" w:rsidRDefault="00213882" w:rsidP="00B67A08">
            <w:pPr>
              <w:pStyle w:val="head"/>
              <w:jc w:val="center"/>
              <w:rPr>
                <w:rFonts w:ascii="Arial" w:hAnsi="Arial" w:cs="Arial"/>
                <w:b/>
                <w:bCs/>
                <w:sz w:val="20"/>
                <w:szCs w:val="20"/>
              </w:rPr>
            </w:pPr>
            <w:r w:rsidRPr="00583041">
              <w:rPr>
                <w:rFonts w:ascii="Arial" w:hAnsi="Arial" w:cs="Arial"/>
                <w:b/>
                <w:bCs/>
                <w:sz w:val="20"/>
                <w:szCs w:val="20"/>
              </w:rPr>
              <w:t>External Commercial Borrowings (ECB) Policy – Liberalisation Measures</w:t>
            </w:r>
          </w:p>
          <w:p w:rsidR="00213882" w:rsidRPr="00583041" w:rsidRDefault="00213882" w:rsidP="00B67A08">
            <w:pPr>
              <w:pStyle w:val="NormalWeb"/>
              <w:spacing w:before="0" w:beforeAutospacing="0"/>
              <w:rPr>
                <w:rFonts w:ascii="Arial" w:hAnsi="Arial" w:cs="Arial"/>
                <w:sz w:val="20"/>
                <w:szCs w:val="20"/>
              </w:rPr>
            </w:pPr>
            <w:r w:rsidRPr="00583041">
              <w:rPr>
                <w:rFonts w:ascii="Arial" w:hAnsi="Arial" w:cs="Arial"/>
                <w:sz w:val="20"/>
                <w:szCs w:val="20"/>
              </w:rPr>
              <w:t>Attention is invited to paragraph 2.2 of </w:t>
            </w:r>
            <w:hyperlink r:id="rId11" w:tgtFrame="_blank" w:history="1">
              <w:r w:rsidRPr="00583041">
                <w:rPr>
                  <w:rStyle w:val="Hyperlink"/>
                  <w:rFonts w:ascii="Arial" w:hAnsi="Arial" w:cs="Arial"/>
                  <w:sz w:val="20"/>
                  <w:szCs w:val="20"/>
                </w:rPr>
                <w:t>FED Master Direction No.5 on External Commercial Borrowings, Trade Credits and Structured Obligations, dated March 26, 2019</w:t>
              </w:r>
            </w:hyperlink>
            <w:r w:rsidRPr="00583041">
              <w:rPr>
                <w:rFonts w:ascii="Arial" w:hAnsi="Arial" w:cs="Arial"/>
                <w:sz w:val="20"/>
                <w:szCs w:val="20"/>
              </w:rPr>
              <w:t> (as amended from time to time), in terms of which eligible ECB borrowers are allowed to raise ECB up to USD 750 million or equivalent per financial year under the automatic route, and paragraph 2.1.vi. ibid, wherein the all-in-cost ceiling for ECBs has been specified.</w:t>
            </w:r>
          </w:p>
          <w:p w:rsidR="00213882" w:rsidRPr="00583041" w:rsidRDefault="00213882" w:rsidP="00B67A08">
            <w:pPr>
              <w:pStyle w:val="NormalWeb"/>
              <w:spacing w:before="0" w:beforeAutospacing="0"/>
              <w:rPr>
                <w:rFonts w:ascii="Arial" w:hAnsi="Arial" w:cs="Arial"/>
                <w:sz w:val="20"/>
                <w:szCs w:val="20"/>
              </w:rPr>
            </w:pPr>
            <w:r w:rsidRPr="00583041">
              <w:rPr>
                <w:rFonts w:ascii="Arial" w:hAnsi="Arial" w:cs="Arial"/>
                <w:sz w:val="20"/>
                <w:szCs w:val="20"/>
              </w:rPr>
              <w:t>2. As announced in paragraph five of the </w:t>
            </w:r>
            <w:hyperlink r:id="rId12" w:tgtFrame="_blank" w:history="1">
              <w:r w:rsidRPr="00583041">
                <w:rPr>
                  <w:rStyle w:val="Hyperlink"/>
                  <w:rFonts w:ascii="Arial" w:hAnsi="Arial" w:cs="Arial"/>
                  <w:sz w:val="20"/>
                  <w:szCs w:val="20"/>
                </w:rPr>
                <w:t>press release on “Liberalisation of Forex Flows” dated July 06, 2022</w:t>
              </w:r>
            </w:hyperlink>
            <w:r w:rsidRPr="00583041">
              <w:rPr>
                <w:rFonts w:ascii="Arial" w:hAnsi="Arial" w:cs="Arial"/>
                <w:sz w:val="20"/>
                <w:szCs w:val="20"/>
              </w:rPr>
              <w:t>, it has been decided, in consultation with the Central Government, to:</w:t>
            </w:r>
          </w:p>
          <w:p w:rsidR="00213882" w:rsidRPr="00583041" w:rsidRDefault="00213882" w:rsidP="00B67A08">
            <w:pPr>
              <w:pStyle w:val="NormalWeb"/>
              <w:spacing w:before="0" w:beforeAutospacing="0"/>
              <w:rPr>
                <w:rFonts w:ascii="Arial" w:hAnsi="Arial" w:cs="Arial"/>
                <w:sz w:val="20"/>
                <w:szCs w:val="20"/>
              </w:rPr>
            </w:pPr>
            <w:r w:rsidRPr="00583041">
              <w:rPr>
                <w:rFonts w:ascii="Arial" w:hAnsi="Arial" w:cs="Arial"/>
                <w:sz w:val="20"/>
                <w:szCs w:val="20"/>
              </w:rPr>
              <w:t>i) increase the automatic route limit from USD 750 million or equivalent to USD 1.5 billion or equivalent.</w:t>
            </w:r>
          </w:p>
          <w:p w:rsidR="00213882" w:rsidRPr="00583041" w:rsidRDefault="00213882" w:rsidP="00B67A08">
            <w:pPr>
              <w:pStyle w:val="NormalWeb"/>
              <w:spacing w:before="0" w:beforeAutospacing="0"/>
              <w:rPr>
                <w:rFonts w:ascii="Arial" w:hAnsi="Arial" w:cs="Arial"/>
                <w:sz w:val="20"/>
                <w:szCs w:val="20"/>
              </w:rPr>
            </w:pPr>
            <w:r w:rsidRPr="00583041">
              <w:rPr>
                <w:rFonts w:ascii="Arial" w:hAnsi="Arial" w:cs="Arial"/>
                <w:sz w:val="20"/>
                <w:szCs w:val="20"/>
              </w:rPr>
              <w:t>ii) increase the all-in-cost ceiling for ECBs, by 100 bps. The enhanced all-in-cost ceiling shall be available only to eligible borrowers of investment grade rating from Indian Credit Rating Agencies (CRAs). Other eligible borrowers may raise ECB within the existing all-in-cost ceiling, as hitherto.</w:t>
            </w:r>
          </w:p>
          <w:p w:rsidR="00213882" w:rsidRPr="00583041" w:rsidRDefault="00213882" w:rsidP="00B67A08">
            <w:pPr>
              <w:pStyle w:val="NormalWeb"/>
              <w:spacing w:before="0" w:beforeAutospacing="0"/>
              <w:rPr>
                <w:rFonts w:ascii="Arial" w:hAnsi="Arial" w:cs="Arial"/>
                <w:sz w:val="20"/>
                <w:szCs w:val="20"/>
              </w:rPr>
            </w:pPr>
            <w:r w:rsidRPr="00583041">
              <w:rPr>
                <w:rFonts w:ascii="Arial" w:hAnsi="Arial" w:cs="Arial"/>
                <w:sz w:val="20"/>
                <w:szCs w:val="20"/>
              </w:rPr>
              <w:t>The above relaxations would be available for ECBs to be raised till December 31, 2022.</w:t>
            </w:r>
          </w:p>
          <w:p w:rsidR="00213882" w:rsidRPr="00583041" w:rsidRDefault="00213882" w:rsidP="00B67A08">
            <w:pPr>
              <w:pStyle w:val="NormalWeb"/>
              <w:spacing w:before="0" w:beforeAutospacing="0"/>
              <w:rPr>
                <w:rFonts w:ascii="Arial" w:hAnsi="Arial" w:cs="Arial"/>
                <w:sz w:val="20"/>
                <w:szCs w:val="20"/>
              </w:rPr>
            </w:pPr>
            <w:r w:rsidRPr="00583041">
              <w:rPr>
                <w:rFonts w:ascii="Arial" w:hAnsi="Arial" w:cs="Arial"/>
                <w:sz w:val="20"/>
                <w:szCs w:val="20"/>
              </w:rPr>
              <w:t>3. AD Category-I banks may bring the contents of this circular to the notice of their constituents and customers.</w:t>
            </w:r>
          </w:p>
          <w:p w:rsidR="00213882" w:rsidRPr="00583041" w:rsidRDefault="00213882" w:rsidP="00B67A08">
            <w:pPr>
              <w:pStyle w:val="NormalWeb"/>
              <w:spacing w:before="0" w:beforeAutospacing="0"/>
              <w:rPr>
                <w:rFonts w:ascii="Arial" w:hAnsi="Arial" w:cs="Arial"/>
                <w:sz w:val="20"/>
                <w:szCs w:val="20"/>
              </w:rPr>
            </w:pPr>
            <w:r w:rsidRPr="00583041">
              <w:rPr>
                <w:rFonts w:ascii="Arial" w:hAnsi="Arial" w:cs="Arial"/>
                <w:sz w:val="20"/>
                <w:szCs w:val="20"/>
              </w:rPr>
              <w:t>4. The aforesaid Master Direction No. 5, is being updated to reflect these changes.</w:t>
            </w:r>
          </w:p>
          <w:p w:rsidR="00213882" w:rsidRPr="00583041" w:rsidRDefault="00213882" w:rsidP="00B67A08">
            <w:pPr>
              <w:pStyle w:val="NormalWeb"/>
              <w:spacing w:before="0" w:beforeAutospacing="0"/>
              <w:rPr>
                <w:rFonts w:ascii="Arial" w:hAnsi="Arial" w:cs="Arial"/>
                <w:sz w:val="20"/>
                <w:szCs w:val="20"/>
              </w:rPr>
            </w:pPr>
            <w:r w:rsidRPr="00583041">
              <w:rPr>
                <w:rFonts w:ascii="Arial" w:hAnsi="Arial" w:cs="Arial"/>
                <w:sz w:val="20"/>
                <w:szCs w:val="20"/>
              </w:rPr>
              <w:t>5. Necessary amendments to the relevant regulations have been made through </w:t>
            </w:r>
            <w:r w:rsidRPr="00583041">
              <w:rPr>
                <w:rFonts w:ascii="Arial" w:hAnsi="Arial" w:cs="Arial"/>
                <w:sz w:val="20"/>
                <w:szCs w:val="20"/>
                <w:u w:val="single"/>
              </w:rPr>
              <w:t>the Foreign Exchange Management (Borrowing and Lending) (Amendment) Regulations, 2022, notified vide </w:t>
            </w:r>
            <w:hyperlink r:id="rId13" w:tgtFrame="_blank" w:history="1">
              <w:r w:rsidRPr="00583041">
                <w:rPr>
                  <w:rStyle w:val="Hyperlink"/>
                  <w:rFonts w:ascii="Arial" w:hAnsi="Arial" w:cs="Arial"/>
                  <w:sz w:val="20"/>
                  <w:szCs w:val="20"/>
                </w:rPr>
                <w:t>notification No. FEMA.3(R)(3)/2022-RB dated July 29, 2022</w:t>
              </w:r>
            </w:hyperlink>
            <w:r w:rsidRPr="00583041">
              <w:rPr>
                <w:rFonts w:ascii="Arial" w:hAnsi="Arial" w:cs="Arial"/>
                <w:sz w:val="20"/>
                <w:szCs w:val="20"/>
              </w:rPr>
              <w:t>.</w:t>
            </w:r>
          </w:p>
          <w:p w:rsidR="00213882" w:rsidRPr="00583041" w:rsidRDefault="00213882" w:rsidP="00B67A08">
            <w:pPr>
              <w:pStyle w:val="NormalWeb"/>
              <w:spacing w:before="0" w:beforeAutospacing="0"/>
              <w:rPr>
                <w:rFonts w:ascii="Arial" w:hAnsi="Arial" w:cs="Arial"/>
                <w:sz w:val="20"/>
                <w:szCs w:val="20"/>
              </w:rPr>
            </w:pPr>
            <w:r w:rsidRPr="00583041">
              <w:rPr>
                <w:rFonts w:ascii="Arial" w:hAnsi="Arial" w:cs="Arial"/>
                <w:sz w:val="20"/>
                <w:szCs w:val="20"/>
              </w:rPr>
              <w:t>6. The directions contained in this circular have been issued under section 10(4) and 11(2) of the Foreign Exchange Management Act, 1999 (42 of 1999) and are without prejudice to permissions/ approvals, if any, required under any other law.</w:t>
            </w:r>
          </w:p>
          <w:p w:rsidR="00213882" w:rsidRPr="00583041" w:rsidRDefault="00213882" w:rsidP="00B67A08">
            <w:pPr>
              <w:pStyle w:val="NormalWeb"/>
              <w:spacing w:after="0" w:afterAutospacing="0"/>
              <w:rPr>
                <w:rFonts w:ascii="Arial" w:hAnsi="Arial" w:cs="Arial"/>
                <w:sz w:val="20"/>
                <w:szCs w:val="20"/>
              </w:rPr>
            </w:pPr>
            <w:r w:rsidRPr="00583041">
              <w:rPr>
                <w:rFonts w:ascii="Arial" w:hAnsi="Arial" w:cs="Arial"/>
                <w:sz w:val="20"/>
                <w:szCs w:val="20"/>
              </w:rPr>
              <w:t>Yours faithfully,</w:t>
            </w:r>
          </w:p>
          <w:p w:rsidR="00213882" w:rsidRPr="00583041" w:rsidRDefault="00213882" w:rsidP="00B67A08">
            <w:pPr>
              <w:pStyle w:val="NormalWeb"/>
              <w:rPr>
                <w:rFonts w:ascii="Arial" w:hAnsi="Arial" w:cs="Arial"/>
                <w:sz w:val="20"/>
                <w:szCs w:val="20"/>
              </w:rPr>
            </w:pPr>
            <w:r w:rsidRPr="00583041">
              <w:rPr>
                <w:rFonts w:ascii="Arial" w:hAnsi="Arial" w:cs="Arial"/>
                <w:sz w:val="20"/>
                <w:szCs w:val="20"/>
              </w:rPr>
              <w:t xml:space="preserve">(Ajay Kumar </w:t>
            </w:r>
            <w:proofErr w:type="spellStart"/>
            <w:r w:rsidRPr="00583041">
              <w:rPr>
                <w:rFonts w:ascii="Arial" w:hAnsi="Arial" w:cs="Arial"/>
                <w:sz w:val="20"/>
                <w:szCs w:val="20"/>
              </w:rPr>
              <w:t>Misra</w:t>
            </w:r>
            <w:proofErr w:type="spellEnd"/>
            <w:r w:rsidRPr="00583041">
              <w:rPr>
                <w:rFonts w:ascii="Arial" w:hAnsi="Arial" w:cs="Arial"/>
                <w:sz w:val="20"/>
                <w:szCs w:val="20"/>
              </w:rPr>
              <w:t>)</w:t>
            </w:r>
            <w:r w:rsidRPr="00583041">
              <w:rPr>
                <w:rFonts w:ascii="Arial" w:hAnsi="Arial" w:cs="Arial"/>
                <w:sz w:val="20"/>
                <w:szCs w:val="20"/>
              </w:rPr>
              <w:br/>
              <w:t>Chief General Manager-in-Charge</w:t>
            </w:r>
          </w:p>
        </w:tc>
      </w:tr>
    </w:tbl>
    <w:p w:rsidR="00213882" w:rsidRDefault="00213882" w:rsidP="00213882"/>
    <w:p w:rsidR="00213882" w:rsidRDefault="00213882" w:rsidP="00213882">
      <w:pPr>
        <w:spacing w:after="0"/>
      </w:pPr>
      <w:r>
        <w:t>More details can be referred to in the below link.</w:t>
      </w:r>
    </w:p>
    <w:p w:rsidR="00213882" w:rsidRDefault="00213882" w:rsidP="00213882">
      <w:pPr>
        <w:rPr>
          <w:rFonts w:ascii="Arial" w:hAnsi="Arial" w:cs="Arial"/>
          <w:sz w:val="20"/>
          <w:szCs w:val="20"/>
        </w:rPr>
      </w:pPr>
      <w:r>
        <w:rPr>
          <w:rFonts w:ascii="Arial" w:hAnsi="Arial" w:cs="Arial"/>
          <w:sz w:val="20"/>
          <w:szCs w:val="20"/>
        </w:rPr>
        <w:t xml:space="preserve">Reference Link: </w:t>
      </w:r>
      <w:hyperlink r:id="rId14" w:history="1">
        <w:r w:rsidRPr="00200311">
          <w:rPr>
            <w:rStyle w:val="Hyperlink"/>
            <w:rFonts w:ascii="Arial" w:hAnsi="Arial" w:cs="Arial"/>
            <w:sz w:val="20"/>
            <w:szCs w:val="20"/>
          </w:rPr>
          <w:t>https://www.rbi.org.in/Scripts/NotificationUser.aspx?Id=12366&amp;Mode=0</w:t>
        </w:r>
      </w:hyperlink>
    </w:p>
    <w:p w:rsidR="00213882" w:rsidRDefault="00213882" w:rsidP="00213882">
      <w:pPr>
        <w:spacing w:line="259" w:lineRule="auto"/>
        <w:rPr>
          <w:rFonts w:ascii="Arial" w:hAnsi="Arial" w:cs="Arial"/>
          <w:sz w:val="20"/>
          <w:szCs w:val="20"/>
        </w:rPr>
      </w:pPr>
    </w:p>
    <w:p w:rsidR="00213882" w:rsidRDefault="00213882" w:rsidP="00213882">
      <w:pPr>
        <w:spacing w:line="259" w:lineRule="auto"/>
        <w:rPr>
          <w:rFonts w:ascii="Arial" w:hAnsi="Arial" w:cs="Arial"/>
          <w:sz w:val="20"/>
          <w:szCs w:val="20"/>
        </w:rPr>
      </w:pPr>
    </w:p>
    <w:p w:rsidR="00213882" w:rsidRDefault="00213882" w:rsidP="00213882">
      <w:pPr>
        <w:spacing w:line="259" w:lineRule="auto"/>
        <w:rPr>
          <w:rFonts w:ascii="Arial" w:hAnsi="Arial" w:cs="Arial"/>
          <w:sz w:val="20"/>
          <w:szCs w:val="20"/>
        </w:rPr>
      </w:pPr>
    </w:p>
    <w:p w:rsidR="00213882" w:rsidRDefault="00213882" w:rsidP="00213882">
      <w:pPr>
        <w:pStyle w:val="NormalWeb"/>
        <w:rPr>
          <w:rFonts w:ascii="Arial" w:hAnsi="Arial" w:cs="Arial"/>
          <w:color w:val="000000"/>
          <w:sz w:val="20"/>
          <w:szCs w:val="20"/>
        </w:rPr>
      </w:pPr>
      <w:r>
        <w:rPr>
          <w:rFonts w:ascii="Arial" w:hAnsi="Arial" w:cs="Arial"/>
          <w:b/>
          <w:bCs/>
          <w:color w:val="000000"/>
          <w:sz w:val="20"/>
          <w:szCs w:val="20"/>
        </w:rPr>
        <w:t>Master Circular on Credit Facilities to Minority Communities</w:t>
      </w:r>
    </w:p>
    <w:p w:rsidR="00213882" w:rsidRDefault="00213882" w:rsidP="00213882">
      <w:pPr>
        <w:pStyle w:val="NormalWeb"/>
        <w:rPr>
          <w:rFonts w:ascii="Arial" w:hAnsi="Arial" w:cs="Arial"/>
          <w:color w:val="000000"/>
          <w:sz w:val="20"/>
          <w:szCs w:val="20"/>
        </w:rPr>
      </w:pPr>
      <w:r>
        <w:rPr>
          <w:rFonts w:ascii="Arial" w:hAnsi="Arial" w:cs="Arial"/>
          <w:color w:val="000000"/>
          <w:sz w:val="20"/>
          <w:szCs w:val="20"/>
        </w:rPr>
        <w:t>RBI/2022-23/99</w:t>
      </w:r>
      <w:r>
        <w:rPr>
          <w:rFonts w:ascii="Arial" w:hAnsi="Arial" w:cs="Arial"/>
          <w:color w:val="000000"/>
          <w:sz w:val="20"/>
          <w:szCs w:val="20"/>
        </w:rPr>
        <w:br/>
        <w:t>FIDD.GSSD.BC.No.11/09.10.001/2022-23</w:t>
      </w:r>
    </w:p>
    <w:p w:rsidR="00213882" w:rsidRDefault="00213882" w:rsidP="00213882">
      <w:pPr>
        <w:pStyle w:val="NormalWeb"/>
        <w:jc w:val="right"/>
        <w:rPr>
          <w:rFonts w:ascii="Arial" w:hAnsi="Arial" w:cs="Arial"/>
          <w:color w:val="000000"/>
          <w:sz w:val="20"/>
          <w:szCs w:val="20"/>
        </w:rPr>
      </w:pPr>
      <w:r>
        <w:rPr>
          <w:rFonts w:ascii="Arial" w:hAnsi="Arial" w:cs="Arial"/>
          <w:color w:val="000000"/>
          <w:sz w:val="20"/>
          <w:szCs w:val="20"/>
        </w:rPr>
        <w:t>August 2, 2022</w:t>
      </w:r>
    </w:p>
    <w:p w:rsidR="00213882" w:rsidRDefault="00213882" w:rsidP="00213882">
      <w:pPr>
        <w:pStyle w:val="NormalWeb"/>
        <w:rPr>
          <w:rFonts w:ascii="Arial" w:hAnsi="Arial" w:cs="Arial"/>
          <w:color w:val="000000"/>
          <w:sz w:val="20"/>
          <w:szCs w:val="20"/>
        </w:rPr>
      </w:pPr>
      <w:r>
        <w:rPr>
          <w:rFonts w:ascii="Arial" w:hAnsi="Arial" w:cs="Arial"/>
          <w:color w:val="000000"/>
          <w:sz w:val="20"/>
          <w:szCs w:val="20"/>
        </w:rPr>
        <w:t>The Chairman/Managing Director/Chief Executive Officer</w:t>
      </w:r>
      <w:r>
        <w:rPr>
          <w:rFonts w:ascii="Arial" w:hAnsi="Arial" w:cs="Arial"/>
          <w:color w:val="000000"/>
          <w:sz w:val="20"/>
          <w:szCs w:val="20"/>
        </w:rPr>
        <w:br/>
        <w:t>All Scheduled Commercial Banks</w:t>
      </w:r>
      <w:r>
        <w:rPr>
          <w:rFonts w:ascii="Arial" w:hAnsi="Arial" w:cs="Arial"/>
          <w:color w:val="000000"/>
          <w:sz w:val="20"/>
          <w:szCs w:val="20"/>
        </w:rPr>
        <w:br/>
        <w:t>(excluding RRBs and Foreign Banks with less than 20 branches)</w:t>
      </w:r>
    </w:p>
    <w:p w:rsidR="00213882" w:rsidRDefault="00213882" w:rsidP="00213882">
      <w:pPr>
        <w:pStyle w:val="NormalWeb"/>
        <w:rPr>
          <w:rFonts w:ascii="Arial" w:hAnsi="Arial" w:cs="Arial"/>
          <w:color w:val="000000"/>
          <w:sz w:val="20"/>
          <w:szCs w:val="20"/>
        </w:rPr>
      </w:pPr>
      <w:r>
        <w:rPr>
          <w:rFonts w:ascii="Arial" w:hAnsi="Arial" w:cs="Arial"/>
          <w:color w:val="000000"/>
          <w:sz w:val="20"/>
          <w:szCs w:val="20"/>
        </w:rPr>
        <w:t>Madam/ Dear Sir,</w:t>
      </w:r>
    </w:p>
    <w:p w:rsidR="00213882" w:rsidRDefault="00213882" w:rsidP="00213882">
      <w:pPr>
        <w:pStyle w:val="head"/>
        <w:rPr>
          <w:rFonts w:ascii="Arial" w:hAnsi="Arial" w:cs="Arial"/>
          <w:b/>
          <w:bCs/>
          <w:color w:val="000000"/>
          <w:sz w:val="20"/>
          <w:szCs w:val="20"/>
        </w:rPr>
      </w:pPr>
      <w:r>
        <w:rPr>
          <w:rFonts w:ascii="Arial" w:hAnsi="Arial" w:cs="Arial"/>
          <w:b/>
          <w:bCs/>
          <w:color w:val="000000"/>
          <w:sz w:val="20"/>
          <w:szCs w:val="20"/>
        </w:rPr>
        <w:t>Master Circular on Credit Facilities to Minority Communities</w:t>
      </w:r>
    </w:p>
    <w:p w:rsidR="00213882" w:rsidRPr="00184108" w:rsidRDefault="00213882" w:rsidP="00184108">
      <w:pPr>
        <w:pStyle w:val="NoSpacing"/>
      </w:pPr>
      <w:r>
        <w:t>The Reserve Bank of India has periodically issued guidelines/instructions/directives to banks with regard to providing credit facilities to Minority Communities. The </w:t>
      </w:r>
      <w:hyperlink r:id="rId15" w:anchor="MC" w:history="1">
        <w:r>
          <w:rPr>
            <w:rStyle w:val="Hyperlink"/>
            <w:rFonts w:ascii="Arial" w:hAnsi="Arial" w:cs="Arial"/>
            <w:sz w:val="20"/>
            <w:szCs w:val="20"/>
          </w:rPr>
          <w:t>Master Circular</w:t>
        </w:r>
      </w:hyperlink>
      <w:r>
        <w:t> consolidates the circulars issued by Reserve Bank on the subject till date,</w:t>
      </w:r>
      <w:r w:rsidR="00184108">
        <w:t xml:space="preserve"> on the below points:</w:t>
      </w:r>
    </w:p>
    <w:p w:rsidR="00184108" w:rsidRDefault="00184108" w:rsidP="00184108">
      <w:pPr>
        <w:pStyle w:val="NoSpacing"/>
        <w:rPr>
          <w:bCs/>
        </w:rPr>
      </w:pPr>
    </w:p>
    <w:p w:rsidR="00184108" w:rsidRPr="00184108" w:rsidRDefault="00184108" w:rsidP="00184108">
      <w:pPr>
        <w:pStyle w:val="NoSpacing"/>
      </w:pPr>
      <w:r w:rsidRPr="00184108">
        <w:rPr>
          <w:bCs/>
        </w:rPr>
        <w:t>1. Credit Facilities to Minority Communities</w:t>
      </w:r>
    </w:p>
    <w:p w:rsidR="00184108" w:rsidRPr="00184108" w:rsidRDefault="00184108" w:rsidP="00184108">
      <w:pPr>
        <w:pStyle w:val="NoSpacing"/>
      </w:pPr>
      <w:r w:rsidRPr="00184108">
        <w:rPr>
          <w:bCs/>
        </w:rPr>
        <w:t>2. Definition of Minority Communities</w:t>
      </w:r>
    </w:p>
    <w:p w:rsidR="00184108" w:rsidRPr="00184108" w:rsidRDefault="00184108" w:rsidP="00184108">
      <w:pPr>
        <w:pStyle w:val="NoSpacing"/>
      </w:pPr>
      <w:r w:rsidRPr="00184108">
        <w:rPr>
          <w:bCs/>
        </w:rPr>
        <w:t>3. Creation of Special Cell and designating an exclusive Officer</w:t>
      </w:r>
    </w:p>
    <w:p w:rsidR="00184108" w:rsidRPr="00184108" w:rsidRDefault="00184108" w:rsidP="00184108">
      <w:pPr>
        <w:pStyle w:val="NoSpacing"/>
        <w:rPr>
          <w:bCs/>
        </w:rPr>
      </w:pPr>
      <w:r w:rsidRPr="00184108">
        <w:rPr>
          <w:bCs/>
        </w:rPr>
        <w:t>4. Role of Lead Banks</w:t>
      </w:r>
    </w:p>
    <w:p w:rsidR="00184108" w:rsidRPr="00184108" w:rsidRDefault="00184108" w:rsidP="00184108">
      <w:pPr>
        <w:pStyle w:val="NoSpacing"/>
      </w:pPr>
      <w:r w:rsidRPr="00184108">
        <w:rPr>
          <w:bCs/>
        </w:rPr>
        <w:t>5. Advances under DRI Scheme</w:t>
      </w:r>
    </w:p>
    <w:p w:rsidR="00184108" w:rsidRPr="00184108" w:rsidRDefault="00184108" w:rsidP="00184108">
      <w:pPr>
        <w:pStyle w:val="NoSpacing"/>
      </w:pPr>
      <w:r w:rsidRPr="00184108">
        <w:rPr>
          <w:bCs/>
        </w:rPr>
        <w:t>6. Monitoring</w:t>
      </w:r>
    </w:p>
    <w:p w:rsidR="00184108" w:rsidRPr="00184108" w:rsidRDefault="00184108" w:rsidP="00184108">
      <w:pPr>
        <w:pStyle w:val="NoSpacing"/>
      </w:pPr>
      <w:r w:rsidRPr="00184108">
        <w:rPr>
          <w:bCs/>
        </w:rPr>
        <w:t>7</w:t>
      </w:r>
      <w:r w:rsidRPr="00184108">
        <w:rPr>
          <w:bCs/>
        </w:rPr>
        <w:t>.</w:t>
      </w:r>
      <w:r w:rsidRPr="00184108">
        <w:rPr>
          <w:bCs/>
        </w:rPr>
        <w:t xml:space="preserve"> Training</w:t>
      </w:r>
    </w:p>
    <w:p w:rsidR="00184108" w:rsidRPr="00184108" w:rsidRDefault="00184108" w:rsidP="00184108">
      <w:pPr>
        <w:pStyle w:val="NoSpacing"/>
        <w:rPr>
          <w:bCs/>
        </w:rPr>
      </w:pPr>
      <w:r w:rsidRPr="00184108">
        <w:rPr>
          <w:bCs/>
        </w:rPr>
        <w:t>8 Publicity</w:t>
      </w:r>
    </w:p>
    <w:p w:rsidR="00184108" w:rsidRPr="00184108" w:rsidRDefault="00184108" w:rsidP="00184108">
      <w:pPr>
        <w:pStyle w:val="NoSpacing"/>
      </w:pPr>
      <w:r w:rsidRPr="00184108">
        <w:rPr>
          <w:bCs/>
        </w:rPr>
        <w:t>9. National Minorities Development and Finance Corporation (NMDFC)</w:t>
      </w:r>
    </w:p>
    <w:p w:rsidR="00184108" w:rsidRPr="00184108" w:rsidRDefault="00184108" w:rsidP="00184108">
      <w:pPr>
        <w:pStyle w:val="NoSpacing"/>
      </w:pPr>
      <w:r w:rsidRPr="00184108">
        <w:rPr>
          <w:bCs/>
        </w:rPr>
        <w:t>10. Prime Minister’s New 15 Point Programme for the Welfare of Minorities</w:t>
      </w:r>
    </w:p>
    <w:p w:rsidR="00184108" w:rsidRDefault="00184108" w:rsidP="00213882">
      <w:pPr>
        <w:pStyle w:val="NormalWeb"/>
        <w:rPr>
          <w:rFonts w:ascii="Arial" w:hAnsi="Arial" w:cs="Arial"/>
          <w:color w:val="000000"/>
          <w:sz w:val="20"/>
          <w:szCs w:val="20"/>
        </w:rPr>
      </w:pPr>
      <w:bookmarkStart w:id="0" w:name="_GoBack"/>
      <w:bookmarkEnd w:id="0"/>
    </w:p>
    <w:p w:rsidR="00213882" w:rsidRDefault="00213882" w:rsidP="00213882">
      <w:pPr>
        <w:pStyle w:val="NormalWeb"/>
        <w:rPr>
          <w:rFonts w:ascii="Arial" w:hAnsi="Arial" w:cs="Arial"/>
          <w:color w:val="000000"/>
          <w:sz w:val="20"/>
          <w:szCs w:val="20"/>
        </w:rPr>
      </w:pPr>
      <w:r>
        <w:rPr>
          <w:rFonts w:ascii="Arial" w:hAnsi="Arial" w:cs="Arial"/>
          <w:color w:val="000000"/>
          <w:sz w:val="20"/>
          <w:szCs w:val="20"/>
        </w:rPr>
        <w:t>Yours faithfully,</w:t>
      </w:r>
    </w:p>
    <w:p w:rsidR="00213882" w:rsidRDefault="00213882" w:rsidP="00213882">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Nisha</w:t>
      </w:r>
      <w:proofErr w:type="spellEnd"/>
      <w:r>
        <w:rPr>
          <w:rFonts w:ascii="Arial" w:hAnsi="Arial" w:cs="Arial"/>
          <w:color w:val="000000"/>
          <w:sz w:val="20"/>
          <w:szCs w:val="20"/>
        </w:rPr>
        <w:t xml:space="preserve"> </w:t>
      </w:r>
      <w:proofErr w:type="spellStart"/>
      <w:r>
        <w:rPr>
          <w:rFonts w:ascii="Arial" w:hAnsi="Arial" w:cs="Arial"/>
          <w:color w:val="000000"/>
          <w:sz w:val="20"/>
          <w:szCs w:val="20"/>
        </w:rPr>
        <w:t>Nambiar</w:t>
      </w:r>
      <w:proofErr w:type="spellEnd"/>
      <w:r>
        <w:rPr>
          <w:rFonts w:ascii="Arial" w:hAnsi="Arial" w:cs="Arial"/>
          <w:color w:val="000000"/>
          <w:sz w:val="20"/>
          <w:szCs w:val="20"/>
        </w:rPr>
        <w:t>)</w:t>
      </w:r>
      <w:r>
        <w:rPr>
          <w:rFonts w:ascii="Arial" w:hAnsi="Arial" w:cs="Arial"/>
          <w:color w:val="000000"/>
          <w:sz w:val="20"/>
          <w:szCs w:val="20"/>
        </w:rPr>
        <w:br/>
        <w:t>Chief General Manager</w:t>
      </w:r>
    </w:p>
    <w:p w:rsidR="00213882" w:rsidRDefault="00213882" w:rsidP="00213882">
      <w:pPr>
        <w:spacing w:line="259" w:lineRule="auto"/>
        <w:rPr>
          <w:rFonts w:ascii="Arial" w:hAnsi="Arial" w:cs="Arial"/>
          <w:sz w:val="20"/>
          <w:szCs w:val="20"/>
        </w:rPr>
      </w:pPr>
    </w:p>
    <w:p w:rsidR="00213882" w:rsidRDefault="00213882" w:rsidP="00213882">
      <w:pPr>
        <w:spacing w:line="259" w:lineRule="auto"/>
        <w:rPr>
          <w:rFonts w:ascii="Arial" w:hAnsi="Arial" w:cs="Arial"/>
          <w:sz w:val="20"/>
          <w:szCs w:val="20"/>
        </w:rPr>
      </w:pPr>
    </w:p>
    <w:p w:rsidR="00213882" w:rsidRDefault="00213882" w:rsidP="00213882">
      <w:r>
        <w:t>More details can be referred to in the below link.</w:t>
      </w:r>
    </w:p>
    <w:p w:rsidR="00213882" w:rsidRDefault="00213882" w:rsidP="00213882">
      <w:pPr>
        <w:spacing w:line="259" w:lineRule="auto"/>
        <w:rPr>
          <w:rFonts w:ascii="Arial" w:hAnsi="Arial" w:cs="Arial"/>
          <w:bCs/>
          <w:color w:val="000000"/>
          <w:sz w:val="20"/>
          <w:szCs w:val="20"/>
        </w:rPr>
      </w:pPr>
      <w:r>
        <w:rPr>
          <w:rFonts w:ascii="Arial" w:hAnsi="Arial" w:cs="Arial"/>
          <w:bCs/>
          <w:color w:val="000000"/>
          <w:sz w:val="20"/>
          <w:szCs w:val="20"/>
        </w:rPr>
        <w:t xml:space="preserve">Reference Link: </w:t>
      </w:r>
      <w:hyperlink r:id="rId16" w:history="1">
        <w:r w:rsidRPr="006865D6">
          <w:rPr>
            <w:rStyle w:val="Hyperlink"/>
            <w:rFonts w:ascii="Arial" w:hAnsi="Arial" w:cs="Arial"/>
            <w:bCs/>
            <w:sz w:val="20"/>
            <w:szCs w:val="20"/>
          </w:rPr>
          <w:t>https://m.rbi.org.in/scripts/BS_ViewMasCirculardetails.aspx?id=12367</w:t>
        </w:r>
      </w:hyperlink>
    </w:p>
    <w:p w:rsidR="00213882" w:rsidRDefault="00213882" w:rsidP="00213882">
      <w:pPr>
        <w:spacing w:line="259" w:lineRule="auto"/>
        <w:rPr>
          <w:rFonts w:ascii="Arial" w:hAnsi="Arial" w:cs="Arial"/>
          <w:sz w:val="20"/>
          <w:szCs w:val="20"/>
        </w:rPr>
      </w:pPr>
    </w:p>
    <w:p w:rsidR="00213882" w:rsidRDefault="00213882" w:rsidP="00213882">
      <w:pPr>
        <w:spacing w:line="259" w:lineRule="auto"/>
        <w:rPr>
          <w:rFonts w:ascii="Arial" w:hAnsi="Arial" w:cs="Arial"/>
          <w:sz w:val="20"/>
          <w:szCs w:val="20"/>
        </w:rPr>
      </w:pPr>
    </w:p>
    <w:p w:rsidR="00213882" w:rsidRDefault="00213882" w:rsidP="00213882">
      <w:pPr>
        <w:spacing w:line="259" w:lineRule="auto"/>
        <w:rPr>
          <w:rFonts w:ascii="Arial" w:hAnsi="Arial" w:cs="Arial"/>
          <w:sz w:val="20"/>
          <w:szCs w:val="20"/>
        </w:rPr>
      </w:pPr>
    </w:p>
    <w:p w:rsidR="00F401F7" w:rsidRDefault="00F401F7" w:rsidP="00494F1F">
      <w:pPr>
        <w:rPr>
          <w:rFonts w:ascii="Arial" w:hAnsi="Arial" w:cs="Arial"/>
          <w:b/>
          <w:bCs/>
          <w:color w:val="000000"/>
          <w:sz w:val="20"/>
          <w:szCs w:val="20"/>
        </w:rPr>
      </w:pPr>
    </w:p>
    <w:p w:rsidR="00494F1F" w:rsidRDefault="00494F1F" w:rsidP="00494F1F">
      <w:pPr>
        <w:rPr>
          <w:rFonts w:ascii="Arial" w:hAnsi="Arial" w:cs="Arial"/>
          <w:b/>
          <w:bCs/>
          <w:color w:val="000000"/>
          <w:sz w:val="20"/>
          <w:szCs w:val="20"/>
        </w:rPr>
      </w:pPr>
      <w:r>
        <w:rPr>
          <w:rFonts w:ascii="Arial" w:hAnsi="Arial" w:cs="Arial"/>
          <w:b/>
          <w:bCs/>
          <w:color w:val="000000"/>
          <w:sz w:val="20"/>
          <w:szCs w:val="20"/>
        </w:rPr>
        <w:t>Foreign Exchange Management (Overseas Investment) Regulations, 2022</w:t>
      </w:r>
    </w:p>
    <w:p w:rsidR="00494F1F" w:rsidRDefault="00494F1F" w:rsidP="00494F1F">
      <w:pPr>
        <w:pStyle w:val="head"/>
        <w:jc w:val="both"/>
        <w:rPr>
          <w:rFonts w:ascii="Arial" w:hAnsi="Arial" w:cs="Arial"/>
          <w:b/>
          <w:bCs/>
          <w:color w:val="000000"/>
          <w:sz w:val="20"/>
          <w:szCs w:val="20"/>
        </w:rPr>
      </w:pPr>
      <w:r>
        <w:rPr>
          <w:rFonts w:ascii="Arial" w:hAnsi="Arial" w:cs="Arial"/>
          <w:b/>
          <w:bCs/>
          <w:color w:val="000000"/>
          <w:sz w:val="20"/>
          <w:szCs w:val="20"/>
        </w:rPr>
        <w:lastRenderedPageBreak/>
        <w:t>No. FEMA 400/2022-RB</w:t>
      </w:r>
    </w:p>
    <w:p w:rsidR="00494F1F" w:rsidRDefault="00494F1F" w:rsidP="00494F1F">
      <w:pPr>
        <w:pStyle w:val="head"/>
        <w:jc w:val="right"/>
        <w:rPr>
          <w:rFonts w:ascii="Arial" w:hAnsi="Arial" w:cs="Arial"/>
          <w:b/>
          <w:bCs/>
          <w:color w:val="000000"/>
          <w:sz w:val="20"/>
          <w:szCs w:val="20"/>
        </w:rPr>
      </w:pPr>
      <w:r>
        <w:rPr>
          <w:rFonts w:ascii="Arial" w:hAnsi="Arial" w:cs="Arial"/>
          <w:b/>
          <w:bCs/>
          <w:color w:val="000000"/>
          <w:sz w:val="20"/>
          <w:szCs w:val="20"/>
        </w:rPr>
        <w:t>August 22, 2022</w:t>
      </w:r>
    </w:p>
    <w:p w:rsidR="00494F1F" w:rsidRDefault="00494F1F" w:rsidP="00494F1F">
      <w:pPr>
        <w:pStyle w:val="head"/>
        <w:jc w:val="center"/>
        <w:rPr>
          <w:rFonts w:ascii="Arial" w:hAnsi="Arial" w:cs="Arial"/>
          <w:b/>
          <w:bCs/>
          <w:color w:val="000000"/>
          <w:sz w:val="20"/>
          <w:szCs w:val="20"/>
        </w:rPr>
      </w:pPr>
      <w:r>
        <w:rPr>
          <w:rFonts w:ascii="Arial" w:hAnsi="Arial" w:cs="Arial"/>
          <w:b/>
          <w:bCs/>
          <w:color w:val="000000"/>
          <w:sz w:val="20"/>
          <w:szCs w:val="20"/>
        </w:rPr>
        <w:t>Foreign Exchange Management (Overseas Investment) Regulations, 2022</w:t>
      </w:r>
    </w:p>
    <w:p w:rsidR="00494F1F" w:rsidRDefault="00494F1F" w:rsidP="00494F1F">
      <w:pPr>
        <w:pStyle w:val="NormalWeb"/>
        <w:jc w:val="both"/>
        <w:rPr>
          <w:rFonts w:ascii="Arial" w:hAnsi="Arial" w:cs="Arial"/>
          <w:color w:val="000000"/>
          <w:sz w:val="20"/>
          <w:szCs w:val="20"/>
        </w:rPr>
      </w:pPr>
      <w:r>
        <w:rPr>
          <w:rFonts w:ascii="Arial" w:hAnsi="Arial" w:cs="Arial"/>
          <w:color w:val="000000"/>
          <w:sz w:val="20"/>
          <w:szCs w:val="20"/>
        </w:rPr>
        <w:t xml:space="preserve">In exercise of the powers conferred by sub-section (1) and clause (a) of sub-section (2) of section 47 of the Foreign Exchange Management Act, 1999 (42 of 1999), the Reserve Bank hereby makes the following regulations, </w:t>
      </w:r>
      <w:proofErr w:type="gramStart"/>
      <w:r>
        <w:rPr>
          <w:rFonts w:ascii="Arial" w:hAnsi="Arial" w:cs="Arial"/>
          <w:color w:val="000000"/>
          <w:sz w:val="20"/>
          <w:szCs w:val="20"/>
        </w:rPr>
        <w:t>namely:–</w:t>
      </w:r>
      <w:proofErr w:type="gramEnd"/>
    </w:p>
    <w:p w:rsidR="00494F1F" w:rsidRDefault="00494F1F" w:rsidP="00494F1F">
      <w:pPr>
        <w:pStyle w:val="NormalWeb"/>
        <w:jc w:val="both"/>
        <w:rPr>
          <w:rFonts w:ascii="Arial" w:hAnsi="Arial" w:cs="Arial"/>
          <w:color w:val="000000"/>
          <w:sz w:val="20"/>
          <w:szCs w:val="20"/>
        </w:rPr>
      </w:pPr>
      <w:r>
        <w:rPr>
          <w:rStyle w:val="head1"/>
          <w:rFonts w:ascii="Arial" w:hAnsi="Arial" w:cs="Arial"/>
          <w:b/>
          <w:bCs/>
          <w:color w:val="000000"/>
          <w:sz w:val="20"/>
          <w:szCs w:val="20"/>
        </w:rPr>
        <w:t xml:space="preserve">1. Short title and </w:t>
      </w:r>
      <w:proofErr w:type="gramStart"/>
      <w:r>
        <w:rPr>
          <w:rStyle w:val="head1"/>
          <w:rFonts w:ascii="Arial" w:hAnsi="Arial" w:cs="Arial"/>
          <w:b/>
          <w:bCs/>
          <w:color w:val="000000"/>
          <w:sz w:val="20"/>
          <w:szCs w:val="20"/>
        </w:rPr>
        <w:t>commencement.–</w:t>
      </w:r>
      <w:proofErr w:type="gramEnd"/>
      <w:r>
        <w:rPr>
          <w:rFonts w:ascii="Arial" w:hAnsi="Arial" w:cs="Arial"/>
          <w:color w:val="000000"/>
          <w:sz w:val="20"/>
          <w:szCs w:val="20"/>
        </w:rPr>
        <w:t> (1) These regulations may be called the Foreign Exchange Management (Overseas Investment) Regulations, 2022.</w:t>
      </w:r>
    </w:p>
    <w:p w:rsidR="00494F1F" w:rsidRDefault="00494F1F" w:rsidP="00494F1F">
      <w:pPr>
        <w:pStyle w:val="NormalWeb"/>
        <w:jc w:val="both"/>
        <w:rPr>
          <w:rFonts w:ascii="Arial" w:hAnsi="Arial" w:cs="Arial"/>
          <w:color w:val="000000"/>
          <w:sz w:val="20"/>
          <w:szCs w:val="20"/>
        </w:rPr>
      </w:pPr>
      <w:r>
        <w:rPr>
          <w:rFonts w:ascii="Arial" w:hAnsi="Arial" w:cs="Arial"/>
          <w:color w:val="000000"/>
          <w:sz w:val="20"/>
          <w:szCs w:val="20"/>
        </w:rPr>
        <w:t>(2) They shall come into force on the date of their publication in the </w:t>
      </w:r>
      <w:hyperlink r:id="rId17" w:tgtFrame="_blank" w:history="1">
        <w:r>
          <w:rPr>
            <w:rStyle w:val="Hyperlink"/>
            <w:rFonts w:ascii="Arial" w:hAnsi="Arial" w:cs="Arial"/>
            <w:sz w:val="20"/>
            <w:szCs w:val="20"/>
          </w:rPr>
          <w:t>Official Gazette</w:t>
        </w:r>
      </w:hyperlink>
      <w:r>
        <w:rPr>
          <w:rFonts w:ascii="Arial" w:hAnsi="Arial" w:cs="Arial"/>
          <w:color w:val="000000"/>
          <w:sz w:val="20"/>
          <w:szCs w:val="20"/>
        </w:rPr>
        <w:t>.</w:t>
      </w:r>
    </w:p>
    <w:p w:rsidR="00494F1F" w:rsidRDefault="00494F1F" w:rsidP="00494F1F">
      <w:pPr>
        <w:pStyle w:val="NormalWeb"/>
        <w:jc w:val="both"/>
        <w:rPr>
          <w:rFonts w:ascii="Arial" w:hAnsi="Arial" w:cs="Arial"/>
          <w:color w:val="000000"/>
          <w:sz w:val="20"/>
          <w:szCs w:val="20"/>
        </w:rPr>
      </w:pPr>
      <w:r>
        <w:rPr>
          <w:rStyle w:val="head1"/>
          <w:rFonts w:ascii="Arial" w:hAnsi="Arial" w:cs="Arial"/>
          <w:b/>
          <w:bCs/>
          <w:color w:val="000000"/>
          <w:sz w:val="20"/>
          <w:szCs w:val="20"/>
        </w:rPr>
        <w:t xml:space="preserve">2. </w:t>
      </w:r>
      <w:proofErr w:type="gramStart"/>
      <w:r>
        <w:rPr>
          <w:rStyle w:val="head1"/>
          <w:rFonts w:ascii="Arial" w:hAnsi="Arial" w:cs="Arial"/>
          <w:b/>
          <w:bCs/>
          <w:color w:val="000000"/>
          <w:sz w:val="20"/>
          <w:szCs w:val="20"/>
        </w:rPr>
        <w:t>Definitions.–</w:t>
      </w:r>
      <w:proofErr w:type="gramEnd"/>
      <w:r>
        <w:rPr>
          <w:rFonts w:ascii="Arial" w:hAnsi="Arial" w:cs="Arial"/>
          <w:color w:val="000000"/>
          <w:sz w:val="20"/>
          <w:szCs w:val="20"/>
        </w:rPr>
        <w:t> (1) In these regulations, unless the context otherwise requires,–</w:t>
      </w:r>
    </w:p>
    <w:p w:rsidR="00494F1F" w:rsidRDefault="00494F1F" w:rsidP="00494F1F">
      <w:pPr>
        <w:pStyle w:val="NormalWeb"/>
        <w:jc w:val="both"/>
        <w:rPr>
          <w:rFonts w:ascii="Arial" w:hAnsi="Arial" w:cs="Arial"/>
          <w:color w:val="000000"/>
          <w:sz w:val="20"/>
          <w:szCs w:val="20"/>
        </w:rPr>
      </w:pPr>
      <w:r>
        <w:rPr>
          <w:rFonts w:ascii="Arial" w:hAnsi="Arial" w:cs="Arial"/>
          <w:color w:val="000000"/>
          <w:sz w:val="20"/>
          <w:szCs w:val="20"/>
        </w:rPr>
        <w:t>(a) “Act” means the Foreign Exchange Management Act, 1999 (42 of 1999);</w:t>
      </w:r>
    </w:p>
    <w:p w:rsidR="00494F1F" w:rsidRDefault="00494F1F" w:rsidP="00494F1F">
      <w:pPr>
        <w:pStyle w:val="NormalWeb"/>
        <w:jc w:val="both"/>
        <w:rPr>
          <w:rFonts w:ascii="Arial" w:hAnsi="Arial" w:cs="Arial"/>
          <w:color w:val="000000"/>
          <w:sz w:val="20"/>
          <w:szCs w:val="20"/>
        </w:rPr>
      </w:pPr>
      <w:r>
        <w:rPr>
          <w:rFonts w:ascii="Arial" w:hAnsi="Arial" w:cs="Arial"/>
          <w:color w:val="000000"/>
          <w:sz w:val="20"/>
          <w:szCs w:val="20"/>
        </w:rPr>
        <w:t>(b) “debt instruments” shall have the same meaning as assigned to it in the </w:t>
      </w:r>
      <w:hyperlink r:id="rId18" w:tgtFrame="_blank" w:history="1">
        <w:r>
          <w:rPr>
            <w:rStyle w:val="Hyperlink"/>
            <w:rFonts w:ascii="Arial" w:hAnsi="Arial" w:cs="Arial"/>
            <w:sz w:val="20"/>
            <w:szCs w:val="20"/>
          </w:rPr>
          <w:t>Foreign Exchange Management (Overseas Investment) Rules, 2022</w:t>
        </w:r>
      </w:hyperlink>
      <w:r>
        <w:rPr>
          <w:rFonts w:ascii="Arial" w:hAnsi="Arial" w:cs="Arial"/>
          <w:color w:val="000000"/>
          <w:sz w:val="20"/>
          <w:szCs w:val="20"/>
        </w:rPr>
        <w:t>;</w:t>
      </w:r>
    </w:p>
    <w:p w:rsidR="00494F1F" w:rsidRDefault="00494F1F" w:rsidP="00494F1F">
      <w:pPr>
        <w:pStyle w:val="NormalWeb"/>
        <w:jc w:val="both"/>
        <w:rPr>
          <w:rFonts w:ascii="Arial" w:hAnsi="Arial" w:cs="Arial"/>
          <w:color w:val="000000"/>
          <w:sz w:val="20"/>
          <w:szCs w:val="20"/>
        </w:rPr>
      </w:pPr>
      <w:r>
        <w:rPr>
          <w:rFonts w:ascii="Arial" w:hAnsi="Arial" w:cs="Arial"/>
          <w:color w:val="000000"/>
          <w:sz w:val="20"/>
          <w:szCs w:val="20"/>
        </w:rPr>
        <w:t>(2) The words and expressions used but not defined in these regulations shall have the meanings respectively assigned to them in the Act or the </w:t>
      </w:r>
      <w:hyperlink r:id="rId19" w:tgtFrame="_blank" w:history="1">
        <w:r>
          <w:rPr>
            <w:rStyle w:val="Hyperlink"/>
            <w:rFonts w:ascii="Arial" w:hAnsi="Arial" w:cs="Arial"/>
            <w:sz w:val="20"/>
            <w:szCs w:val="20"/>
          </w:rPr>
          <w:t>Foreign Exchange Management (Overseas Investment) Rules, 2022</w:t>
        </w:r>
      </w:hyperlink>
      <w:r>
        <w:rPr>
          <w:rFonts w:ascii="Arial" w:hAnsi="Arial" w:cs="Arial"/>
          <w:color w:val="000000"/>
          <w:sz w:val="20"/>
          <w:szCs w:val="20"/>
        </w:rPr>
        <w:t>.</w:t>
      </w:r>
    </w:p>
    <w:p w:rsidR="00494F1F" w:rsidRPr="005D5DB2" w:rsidRDefault="00494F1F" w:rsidP="00494F1F">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3. Financial commitment by Indian entity by modes other than equity capital</w:t>
      </w:r>
    </w:p>
    <w:p w:rsidR="00494F1F" w:rsidRPr="005D5DB2" w:rsidRDefault="00494F1F" w:rsidP="00494F1F">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4. Financial commitment by Indian entity by way of debt</w:t>
      </w:r>
    </w:p>
    <w:p w:rsidR="00494F1F" w:rsidRPr="005D5DB2" w:rsidRDefault="00494F1F" w:rsidP="00494F1F">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5. Financial commitment by way of guarantee</w:t>
      </w:r>
    </w:p>
    <w:p w:rsidR="00494F1F" w:rsidRPr="005D5DB2" w:rsidRDefault="00494F1F" w:rsidP="00494F1F">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6. Financial commitment by way of pledge or charge</w:t>
      </w:r>
    </w:p>
    <w:p w:rsidR="00494F1F" w:rsidRPr="005D5DB2" w:rsidRDefault="00494F1F" w:rsidP="00494F1F">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7. Acquisition or transfer by way of deferred payment</w:t>
      </w:r>
    </w:p>
    <w:p w:rsidR="00494F1F" w:rsidRPr="005D5DB2" w:rsidRDefault="00494F1F" w:rsidP="00494F1F">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8. Mode of payment</w:t>
      </w:r>
    </w:p>
    <w:p w:rsidR="00494F1F" w:rsidRPr="005D5DB2" w:rsidRDefault="00494F1F" w:rsidP="00494F1F">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9. Obligations of person resident in India</w:t>
      </w:r>
    </w:p>
    <w:p w:rsidR="00494F1F" w:rsidRPr="005D5DB2" w:rsidRDefault="00494F1F" w:rsidP="00494F1F">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10. Reporting requirements for Overseas Investment</w:t>
      </w:r>
    </w:p>
    <w:p w:rsidR="00494F1F" w:rsidRPr="005D5DB2" w:rsidRDefault="00494F1F" w:rsidP="00494F1F">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11. Delay in reporting</w:t>
      </w:r>
    </w:p>
    <w:p w:rsidR="00494F1F" w:rsidRPr="005D5DB2" w:rsidRDefault="00494F1F" w:rsidP="00494F1F">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12. Restriction on further financial commitment or transfer</w:t>
      </w:r>
    </w:p>
    <w:p w:rsidR="00494F1F" w:rsidRDefault="00494F1F" w:rsidP="00494F1F">
      <w:pPr>
        <w:pStyle w:val="NormalWeb"/>
        <w:rPr>
          <w:rFonts w:ascii="Arial" w:hAnsi="Arial" w:cs="Arial"/>
          <w:color w:val="000000"/>
          <w:sz w:val="20"/>
          <w:szCs w:val="20"/>
        </w:rPr>
      </w:pPr>
    </w:p>
    <w:p w:rsidR="00494F1F" w:rsidRDefault="00494F1F" w:rsidP="00494F1F">
      <w:pPr>
        <w:pStyle w:val="NormalWeb"/>
        <w:rPr>
          <w:rFonts w:ascii="Arial" w:hAnsi="Arial" w:cs="Arial"/>
          <w:color w:val="000000"/>
          <w:sz w:val="20"/>
          <w:szCs w:val="20"/>
        </w:rPr>
      </w:pPr>
      <w:r>
        <w:rPr>
          <w:rFonts w:ascii="Arial" w:hAnsi="Arial" w:cs="Arial"/>
          <w:color w:val="000000"/>
          <w:sz w:val="20"/>
          <w:szCs w:val="20"/>
        </w:rPr>
        <w:t xml:space="preserve">(Ajay Kumar </w:t>
      </w:r>
      <w:proofErr w:type="spellStart"/>
      <w:r>
        <w:rPr>
          <w:rFonts w:ascii="Arial" w:hAnsi="Arial" w:cs="Arial"/>
          <w:color w:val="000000"/>
          <w:sz w:val="20"/>
          <w:szCs w:val="20"/>
        </w:rPr>
        <w:t>Misra</w:t>
      </w:r>
      <w:proofErr w:type="spellEnd"/>
      <w:r>
        <w:rPr>
          <w:rFonts w:ascii="Arial" w:hAnsi="Arial" w:cs="Arial"/>
          <w:color w:val="000000"/>
          <w:sz w:val="20"/>
          <w:szCs w:val="20"/>
        </w:rPr>
        <w:t>)</w:t>
      </w:r>
      <w:r>
        <w:rPr>
          <w:rFonts w:ascii="Arial" w:hAnsi="Arial" w:cs="Arial"/>
          <w:color w:val="000000"/>
          <w:sz w:val="20"/>
          <w:szCs w:val="20"/>
        </w:rPr>
        <w:br/>
        <w:t>Chief General Manager-in-Charge</w:t>
      </w:r>
    </w:p>
    <w:p w:rsidR="00494F1F" w:rsidRDefault="00494F1F" w:rsidP="00494F1F"/>
    <w:p w:rsidR="00494F1F" w:rsidRDefault="00494F1F" w:rsidP="00494F1F"/>
    <w:p w:rsidR="00494F1F" w:rsidRDefault="00494F1F" w:rsidP="00494F1F">
      <w:r>
        <w:t>More details can be referred to in the below link.</w:t>
      </w:r>
    </w:p>
    <w:p w:rsidR="00494F1F" w:rsidRDefault="00494F1F" w:rsidP="00494F1F">
      <w:pPr>
        <w:rPr>
          <w:rFonts w:ascii="Arial" w:hAnsi="Arial" w:cs="Arial"/>
          <w:sz w:val="20"/>
          <w:szCs w:val="20"/>
        </w:rPr>
      </w:pPr>
      <w:r>
        <w:rPr>
          <w:rFonts w:ascii="Arial" w:hAnsi="Arial" w:cs="Arial"/>
          <w:sz w:val="20"/>
          <w:szCs w:val="20"/>
        </w:rPr>
        <w:t xml:space="preserve">Reference Link: </w:t>
      </w:r>
      <w:hyperlink r:id="rId20" w:history="1">
        <w:r w:rsidRPr="00200311">
          <w:rPr>
            <w:rStyle w:val="Hyperlink"/>
            <w:rFonts w:ascii="Arial" w:hAnsi="Arial" w:cs="Arial"/>
            <w:sz w:val="20"/>
            <w:szCs w:val="20"/>
          </w:rPr>
          <w:t>https://www.rbi.org.in/scripts/NotificationUser.aspx?Id=12380&amp;Mode=0</w:t>
        </w:r>
      </w:hyperlink>
    </w:p>
    <w:p w:rsidR="00494F1F" w:rsidRDefault="00494F1F" w:rsidP="00494F1F"/>
    <w:p w:rsidR="00494F1F" w:rsidRDefault="00494F1F" w:rsidP="00494F1F"/>
    <w:p w:rsidR="00F401F7" w:rsidRDefault="00F401F7" w:rsidP="00494F1F"/>
    <w:p w:rsidR="00494F1F" w:rsidRPr="00435B25" w:rsidRDefault="00494F1F" w:rsidP="00494F1F">
      <w:pPr>
        <w:rPr>
          <w:rFonts w:ascii="Arial" w:hAnsi="Arial" w:cs="Arial"/>
          <w:b/>
          <w:bCs/>
          <w:color w:val="000000"/>
          <w:sz w:val="20"/>
          <w:szCs w:val="20"/>
        </w:rPr>
      </w:pPr>
      <w:r w:rsidRPr="00435B25">
        <w:rPr>
          <w:rFonts w:ascii="Arial" w:hAnsi="Arial" w:cs="Arial"/>
          <w:b/>
          <w:bCs/>
          <w:color w:val="000000"/>
          <w:sz w:val="20"/>
          <w:szCs w:val="20"/>
        </w:rPr>
        <w:t>Foreign Exchange Management (Overseas Investment) Directions, 2022</w:t>
      </w:r>
    </w:p>
    <w:p w:rsidR="00494F1F" w:rsidRPr="00435B25" w:rsidRDefault="00494F1F" w:rsidP="00494F1F">
      <w:pPr>
        <w:pStyle w:val="NormalWeb"/>
        <w:jc w:val="both"/>
        <w:rPr>
          <w:rFonts w:ascii="Arial" w:hAnsi="Arial" w:cs="Arial"/>
          <w:color w:val="000000"/>
          <w:sz w:val="20"/>
          <w:szCs w:val="20"/>
        </w:rPr>
      </w:pPr>
      <w:r w:rsidRPr="00435B25">
        <w:rPr>
          <w:rFonts w:ascii="Arial" w:hAnsi="Arial" w:cs="Arial"/>
          <w:color w:val="000000"/>
          <w:sz w:val="20"/>
          <w:szCs w:val="20"/>
        </w:rPr>
        <w:lastRenderedPageBreak/>
        <w:t>RBI/2022-2023/110</w:t>
      </w:r>
      <w:r w:rsidRPr="00435B25">
        <w:rPr>
          <w:rFonts w:ascii="Arial" w:hAnsi="Arial" w:cs="Arial"/>
          <w:color w:val="000000"/>
          <w:sz w:val="20"/>
          <w:szCs w:val="20"/>
        </w:rPr>
        <w:br/>
        <w:t>A.P. (DIR Series) Circular No.12</w:t>
      </w:r>
    </w:p>
    <w:p w:rsidR="00494F1F" w:rsidRPr="00435B25" w:rsidRDefault="00494F1F" w:rsidP="00494F1F">
      <w:pPr>
        <w:pStyle w:val="NormalWeb"/>
        <w:jc w:val="right"/>
        <w:rPr>
          <w:rFonts w:ascii="Arial" w:hAnsi="Arial" w:cs="Arial"/>
          <w:color w:val="000000"/>
          <w:sz w:val="20"/>
          <w:szCs w:val="20"/>
        </w:rPr>
      </w:pPr>
      <w:r w:rsidRPr="00435B25">
        <w:rPr>
          <w:rFonts w:ascii="Arial" w:hAnsi="Arial" w:cs="Arial"/>
          <w:color w:val="000000"/>
          <w:sz w:val="20"/>
          <w:szCs w:val="20"/>
        </w:rPr>
        <w:t>August 22, 2022</w:t>
      </w:r>
    </w:p>
    <w:p w:rsidR="00494F1F" w:rsidRPr="00435B25" w:rsidRDefault="00494F1F" w:rsidP="00494F1F">
      <w:pPr>
        <w:pStyle w:val="NormalWeb"/>
        <w:spacing w:before="0" w:beforeAutospacing="0" w:after="0" w:afterAutospacing="0"/>
        <w:jc w:val="both"/>
        <w:rPr>
          <w:rFonts w:ascii="Arial" w:hAnsi="Arial" w:cs="Arial"/>
          <w:color w:val="000000"/>
          <w:sz w:val="20"/>
          <w:szCs w:val="20"/>
        </w:rPr>
      </w:pPr>
      <w:r w:rsidRPr="00435B25">
        <w:rPr>
          <w:rFonts w:ascii="Arial" w:hAnsi="Arial" w:cs="Arial"/>
          <w:color w:val="000000"/>
          <w:sz w:val="20"/>
          <w:szCs w:val="20"/>
        </w:rPr>
        <w:t>All Category – I Authorised Dealer Banks</w:t>
      </w:r>
    </w:p>
    <w:p w:rsidR="00494F1F" w:rsidRPr="00435B25" w:rsidRDefault="00494F1F" w:rsidP="00494F1F">
      <w:pPr>
        <w:pStyle w:val="NormalWeb"/>
        <w:spacing w:before="0" w:beforeAutospacing="0" w:after="0" w:afterAutospacing="0"/>
        <w:jc w:val="both"/>
        <w:rPr>
          <w:rFonts w:ascii="Arial" w:hAnsi="Arial" w:cs="Arial"/>
          <w:color w:val="000000"/>
          <w:sz w:val="20"/>
          <w:szCs w:val="20"/>
        </w:rPr>
      </w:pPr>
      <w:r w:rsidRPr="00435B25">
        <w:rPr>
          <w:rFonts w:ascii="Arial" w:hAnsi="Arial" w:cs="Arial"/>
          <w:color w:val="000000"/>
          <w:sz w:val="20"/>
          <w:szCs w:val="20"/>
        </w:rPr>
        <w:t>Madam/Sir</w:t>
      </w:r>
    </w:p>
    <w:p w:rsidR="00494F1F" w:rsidRPr="00435B25" w:rsidRDefault="00494F1F" w:rsidP="00494F1F">
      <w:pPr>
        <w:pStyle w:val="head"/>
        <w:jc w:val="center"/>
        <w:rPr>
          <w:rFonts w:ascii="Arial" w:hAnsi="Arial" w:cs="Arial"/>
          <w:b/>
          <w:bCs/>
          <w:color w:val="000000"/>
          <w:sz w:val="20"/>
          <w:szCs w:val="20"/>
        </w:rPr>
      </w:pPr>
      <w:r w:rsidRPr="00435B25">
        <w:rPr>
          <w:rFonts w:ascii="Arial" w:hAnsi="Arial" w:cs="Arial"/>
          <w:b/>
          <w:bCs/>
          <w:color w:val="000000"/>
          <w:sz w:val="20"/>
          <w:szCs w:val="20"/>
        </w:rPr>
        <w:t>Foreign Exchange Management (Overseas Investment) Directions, 2022</w:t>
      </w:r>
    </w:p>
    <w:p w:rsidR="00494F1F" w:rsidRPr="00435B25" w:rsidRDefault="00494F1F" w:rsidP="00494F1F">
      <w:pPr>
        <w:pStyle w:val="NormalWeb"/>
        <w:jc w:val="both"/>
        <w:rPr>
          <w:rFonts w:ascii="Arial" w:hAnsi="Arial" w:cs="Arial"/>
          <w:color w:val="000000"/>
          <w:sz w:val="20"/>
          <w:szCs w:val="20"/>
        </w:rPr>
      </w:pPr>
      <w:r w:rsidRPr="00435B25">
        <w:rPr>
          <w:rFonts w:ascii="Arial" w:hAnsi="Arial" w:cs="Arial"/>
          <w:color w:val="000000"/>
          <w:sz w:val="20"/>
          <w:szCs w:val="20"/>
        </w:rPr>
        <w:t xml:space="preserve">Overseas investments by </w:t>
      </w:r>
      <w:proofErr w:type="gramStart"/>
      <w:r w:rsidRPr="00435B25">
        <w:rPr>
          <w:rFonts w:ascii="Arial" w:hAnsi="Arial" w:cs="Arial"/>
          <w:color w:val="000000"/>
          <w:sz w:val="20"/>
          <w:szCs w:val="20"/>
        </w:rPr>
        <w:t>persons</w:t>
      </w:r>
      <w:proofErr w:type="gramEnd"/>
      <w:r w:rsidRPr="00435B25">
        <w:rPr>
          <w:rFonts w:ascii="Arial" w:hAnsi="Arial" w:cs="Arial"/>
          <w:color w:val="000000"/>
          <w:sz w:val="20"/>
          <w:szCs w:val="20"/>
        </w:rPr>
        <w:t xml:space="preserve"> resident in India enhance the scale and scope of business operations of Indian entrepreneurs by providing global opportunities for growth. Such ventures through easier access to technology, research and development, a wider global market and reduced cost of capital along with other benefits increase the competitiveness of Indian entities and boost their brand value. These overseas investments are also important drivers of foreign trade and technology transfer thus boosting domestic employment, investment and growth through such interlinkages.</w:t>
      </w:r>
    </w:p>
    <w:p w:rsidR="00494F1F" w:rsidRPr="00435B25" w:rsidRDefault="00494F1F" w:rsidP="00494F1F">
      <w:pPr>
        <w:pStyle w:val="NormalWeb"/>
        <w:jc w:val="both"/>
        <w:rPr>
          <w:rFonts w:ascii="Arial" w:hAnsi="Arial" w:cs="Arial"/>
          <w:color w:val="000000"/>
          <w:sz w:val="20"/>
          <w:szCs w:val="20"/>
        </w:rPr>
      </w:pPr>
      <w:r w:rsidRPr="00435B25">
        <w:rPr>
          <w:rFonts w:ascii="Arial" w:hAnsi="Arial" w:cs="Arial"/>
          <w:color w:val="000000"/>
          <w:sz w:val="20"/>
          <w:szCs w:val="20"/>
        </w:rPr>
        <w:t>2. In keeping with the spirit of liberalisation and to promote ease of doing business, the Central Government and the Reserve Bank of India have been progressively simplifying the procedures and rationalising the rules and regulations under the Foreign Exchange Management Act, 1999. In this direction, a significant step has been taken with operationalisation of a new Overseas Investment regime. </w:t>
      </w:r>
      <w:hyperlink r:id="rId21" w:tgtFrame="_blank" w:history="1">
        <w:r w:rsidRPr="00435B25">
          <w:rPr>
            <w:rStyle w:val="Hyperlink"/>
            <w:rFonts w:ascii="Arial" w:hAnsi="Arial" w:cs="Arial"/>
            <w:sz w:val="20"/>
            <w:szCs w:val="20"/>
          </w:rPr>
          <w:t>Foreign Exchange Management (Overseas Investment) Rules, 2022</w:t>
        </w:r>
      </w:hyperlink>
      <w:r w:rsidRPr="00435B25">
        <w:rPr>
          <w:rFonts w:ascii="Arial" w:hAnsi="Arial" w:cs="Arial"/>
          <w:color w:val="000000"/>
          <w:sz w:val="20"/>
          <w:szCs w:val="20"/>
        </w:rPr>
        <w:t> have been notified by the Central Government vide Notification No. G.S.R. 646(E) dated August 22, 2022 and </w:t>
      </w:r>
      <w:hyperlink r:id="rId22" w:tgtFrame="_blank" w:history="1">
        <w:r w:rsidRPr="00435B25">
          <w:rPr>
            <w:rStyle w:val="Hyperlink"/>
            <w:rFonts w:ascii="Arial" w:hAnsi="Arial" w:cs="Arial"/>
            <w:sz w:val="20"/>
            <w:szCs w:val="20"/>
          </w:rPr>
          <w:t>Foreign Exchange Management (Overseas Investment) Regulations, 2022</w:t>
        </w:r>
      </w:hyperlink>
      <w:r w:rsidRPr="00435B25">
        <w:rPr>
          <w:rFonts w:ascii="Arial" w:hAnsi="Arial" w:cs="Arial"/>
          <w:color w:val="000000"/>
          <w:sz w:val="20"/>
          <w:szCs w:val="20"/>
        </w:rPr>
        <w:t> have been notified by the Reserve Bank vide Notification No. FEMA 400/2022-RB dated August 22, 2022 in supersession of the </w:t>
      </w:r>
      <w:hyperlink r:id="rId23" w:tgtFrame="_blank" w:history="1">
        <w:r w:rsidRPr="00435B25">
          <w:rPr>
            <w:rStyle w:val="Hyperlink"/>
            <w:rFonts w:ascii="Arial" w:hAnsi="Arial" w:cs="Arial"/>
            <w:sz w:val="20"/>
            <w:szCs w:val="20"/>
          </w:rPr>
          <w:t>Notification No. FEMA 120/2004-RB dated July 07, 2004</w:t>
        </w:r>
      </w:hyperlink>
      <w:r w:rsidRPr="00435B25">
        <w:rPr>
          <w:rFonts w:ascii="Arial" w:hAnsi="Arial" w:cs="Arial"/>
          <w:color w:val="000000"/>
          <w:sz w:val="20"/>
          <w:szCs w:val="20"/>
        </w:rPr>
        <w:t> [Foreign Exchange Management (Transfer or Issue of any Foreign Security) (Amendment) Regulations, 2004] and </w:t>
      </w:r>
      <w:hyperlink r:id="rId24" w:tgtFrame="_blank" w:history="1">
        <w:r w:rsidRPr="00435B25">
          <w:rPr>
            <w:rStyle w:val="Hyperlink"/>
            <w:rFonts w:ascii="Arial" w:hAnsi="Arial" w:cs="Arial"/>
            <w:sz w:val="20"/>
            <w:szCs w:val="20"/>
          </w:rPr>
          <w:t>Notification No. FEMA 7 (R)/2015-RB dated January 21, 2016</w:t>
        </w:r>
      </w:hyperlink>
      <w:r w:rsidRPr="00435B25">
        <w:rPr>
          <w:rFonts w:ascii="Arial" w:hAnsi="Arial" w:cs="Arial"/>
          <w:color w:val="000000"/>
          <w:sz w:val="20"/>
          <w:szCs w:val="20"/>
        </w:rPr>
        <w:t xml:space="preserve"> [Foreign Exchange Management (Acquisition and Transfer of Immovable Property Outside India) Regulations, 2015]. The new regime simplifies the existing framework for overseas investment by </w:t>
      </w:r>
      <w:proofErr w:type="gramStart"/>
      <w:r w:rsidRPr="00435B25">
        <w:rPr>
          <w:rFonts w:ascii="Arial" w:hAnsi="Arial" w:cs="Arial"/>
          <w:color w:val="000000"/>
          <w:sz w:val="20"/>
          <w:szCs w:val="20"/>
        </w:rPr>
        <w:t>persons</w:t>
      </w:r>
      <w:proofErr w:type="gramEnd"/>
      <w:r w:rsidRPr="00435B25">
        <w:rPr>
          <w:rFonts w:ascii="Arial" w:hAnsi="Arial" w:cs="Arial"/>
          <w:color w:val="000000"/>
          <w:sz w:val="20"/>
          <w:szCs w:val="20"/>
        </w:rPr>
        <w:t xml:space="preserve"> resident in India to cover wider economic activity and significantly reduces the need for seeking specific approvals. This will reduce the compliance burden and associated compliance costs.</w:t>
      </w:r>
    </w:p>
    <w:p w:rsidR="00494F1F" w:rsidRPr="00435B25" w:rsidRDefault="00494F1F" w:rsidP="00494F1F">
      <w:pPr>
        <w:pStyle w:val="NormalWeb"/>
        <w:spacing w:before="0" w:beforeAutospacing="0" w:after="0" w:afterAutospacing="0"/>
        <w:rPr>
          <w:rFonts w:ascii="Arial" w:hAnsi="Arial" w:cs="Arial"/>
          <w:color w:val="000000"/>
          <w:sz w:val="20"/>
          <w:szCs w:val="20"/>
        </w:rPr>
      </w:pPr>
      <w:r w:rsidRPr="00435B25">
        <w:rPr>
          <w:rFonts w:ascii="Arial" w:hAnsi="Arial" w:cs="Arial"/>
          <w:color w:val="000000"/>
          <w:sz w:val="20"/>
          <w:szCs w:val="20"/>
        </w:rPr>
        <w:t>3. Some of the significant changes brought about through the new rules and regulations are summarised below:</w:t>
      </w:r>
    </w:p>
    <w:p w:rsidR="00494F1F" w:rsidRPr="00435B25" w:rsidRDefault="00494F1F" w:rsidP="00494F1F">
      <w:pPr>
        <w:pStyle w:val="NormalWeb"/>
        <w:spacing w:before="0" w:beforeAutospacing="0" w:after="0" w:afterAutospacing="0"/>
        <w:rPr>
          <w:rFonts w:ascii="Arial" w:hAnsi="Arial" w:cs="Arial"/>
          <w:color w:val="000000"/>
          <w:sz w:val="20"/>
          <w:szCs w:val="20"/>
        </w:rPr>
      </w:pPr>
      <w:r w:rsidRPr="00435B25">
        <w:rPr>
          <w:rFonts w:ascii="Arial" w:hAnsi="Arial" w:cs="Arial"/>
          <w:color w:val="000000"/>
          <w:sz w:val="20"/>
          <w:szCs w:val="20"/>
        </w:rPr>
        <w:t>(i) enhanced clarity with respect to various definitions;</w:t>
      </w:r>
    </w:p>
    <w:p w:rsidR="00494F1F" w:rsidRPr="00435B25" w:rsidRDefault="00494F1F" w:rsidP="00494F1F">
      <w:pPr>
        <w:pStyle w:val="NormalWeb"/>
        <w:spacing w:before="0" w:beforeAutospacing="0" w:after="0" w:afterAutospacing="0"/>
        <w:rPr>
          <w:rFonts w:ascii="Arial" w:hAnsi="Arial" w:cs="Arial"/>
          <w:color w:val="000000"/>
          <w:sz w:val="20"/>
          <w:szCs w:val="20"/>
        </w:rPr>
      </w:pPr>
      <w:r w:rsidRPr="00435B25">
        <w:rPr>
          <w:rFonts w:ascii="Arial" w:hAnsi="Arial" w:cs="Arial"/>
          <w:color w:val="000000"/>
          <w:sz w:val="20"/>
          <w:szCs w:val="20"/>
        </w:rPr>
        <w:t>(ii) introduction of the concept of “strategic sector”;</w:t>
      </w:r>
    </w:p>
    <w:p w:rsidR="00494F1F" w:rsidRPr="00435B25" w:rsidRDefault="00494F1F" w:rsidP="00494F1F">
      <w:pPr>
        <w:pStyle w:val="NormalWeb"/>
        <w:spacing w:before="0" w:beforeAutospacing="0" w:after="0" w:afterAutospacing="0"/>
        <w:rPr>
          <w:rFonts w:ascii="Arial" w:hAnsi="Arial" w:cs="Arial"/>
          <w:color w:val="000000"/>
          <w:sz w:val="20"/>
          <w:szCs w:val="20"/>
        </w:rPr>
      </w:pPr>
      <w:r w:rsidRPr="00435B25">
        <w:rPr>
          <w:rFonts w:ascii="Arial" w:hAnsi="Arial" w:cs="Arial"/>
          <w:color w:val="000000"/>
          <w:sz w:val="20"/>
          <w:szCs w:val="20"/>
        </w:rPr>
        <w:t>(iii) dispensing with the requirement of approval for:</w:t>
      </w:r>
    </w:p>
    <w:p w:rsidR="00494F1F" w:rsidRPr="00435B25" w:rsidRDefault="00494F1F" w:rsidP="00494F1F">
      <w:pPr>
        <w:pStyle w:val="NormalWeb"/>
        <w:numPr>
          <w:ilvl w:val="0"/>
          <w:numId w:val="18"/>
        </w:numPr>
        <w:spacing w:before="0" w:beforeAutospacing="0"/>
        <w:ind w:left="0"/>
        <w:jc w:val="both"/>
        <w:rPr>
          <w:rFonts w:ascii="Arial" w:hAnsi="Arial" w:cs="Arial"/>
          <w:color w:val="000000"/>
          <w:sz w:val="20"/>
          <w:szCs w:val="20"/>
        </w:rPr>
      </w:pPr>
      <w:r w:rsidRPr="00435B25">
        <w:rPr>
          <w:rFonts w:ascii="Arial" w:hAnsi="Arial" w:cs="Arial"/>
          <w:color w:val="000000"/>
          <w:sz w:val="20"/>
          <w:szCs w:val="20"/>
        </w:rPr>
        <w:t>deferred payment of consideration;</w:t>
      </w:r>
    </w:p>
    <w:p w:rsidR="00494F1F" w:rsidRPr="00435B25" w:rsidRDefault="00494F1F" w:rsidP="00494F1F">
      <w:pPr>
        <w:pStyle w:val="NormalWeb"/>
        <w:numPr>
          <w:ilvl w:val="0"/>
          <w:numId w:val="18"/>
        </w:numPr>
        <w:ind w:left="0"/>
        <w:jc w:val="both"/>
        <w:rPr>
          <w:rFonts w:ascii="Arial" w:hAnsi="Arial" w:cs="Arial"/>
          <w:color w:val="000000"/>
          <w:sz w:val="20"/>
          <w:szCs w:val="20"/>
        </w:rPr>
      </w:pPr>
      <w:r w:rsidRPr="00435B25">
        <w:rPr>
          <w:rFonts w:ascii="Arial" w:hAnsi="Arial" w:cs="Arial"/>
          <w:color w:val="000000"/>
          <w:sz w:val="20"/>
          <w:szCs w:val="20"/>
        </w:rPr>
        <w:t xml:space="preserve">investment/disinvestment by </w:t>
      </w:r>
      <w:proofErr w:type="gramStart"/>
      <w:r w:rsidRPr="00435B25">
        <w:rPr>
          <w:rFonts w:ascii="Arial" w:hAnsi="Arial" w:cs="Arial"/>
          <w:color w:val="000000"/>
          <w:sz w:val="20"/>
          <w:szCs w:val="20"/>
        </w:rPr>
        <w:t>persons</w:t>
      </w:r>
      <w:proofErr w:type="gramEnd"/>
      <w:r w:rsidRPr="00435B25">
        <w:rPr>
          <w:rFonts w:ascii="Arial" w:hAnsi="Arial" w:cs="Arial"/>
          <w:color w:val="000000"/>
          <w:sz w:val="20"/>
          <w:szCs w:val="20"/>
        </w:rPr>
        <w:t xml:space="preserve"> resident in India under investigation by any investigative agency/regulatory body;</w:t>
      </w:r>
    </w:p>
    <w:p w:rsidR="00494F1F" w:rsidRPr="00435B25" w:rsidRDefault="00494F1F" w:rsidP="00494F1F">
      <w:pPr>
        <w:pStyle w:val="NormalWeb"/>
        <w:numPr>
          <w:ilvl w:val="0"/>
          <w:numId w:val="18"/>
        </w:numPr>
        <w:ind w:left="0"/>
        <w:jc w:val="both"/>
        <w:rPr>
          <w:rFonts w:ascii="Arial" w:hAnsi="Arial" w:cs="Arial"/>
          <w:color w:val="000000"/>
          <w:sz w:val="20"/>
          <w:szCs w:val="20"/>
        </w:rPr>
      </w:pPr>
      <w:r w:rsidRPr="00435B25">
        <w:rPr>
          <w:rFonts w:ascii="Arial" w:hAnsi="Arial" w:cs="Arial"/>
          <w:color w:val="000000"/>
          <w:sz w:val="20"/>
          <w:szCs w:val="20"/>
        </w:rPr>
        <w:t>issuance of corporate guarantees to or on behalf of second or subsequent level step down subsidiary (SDS);</w:t>
      </w:r>
    </w:p>
    <w:p w:rsidR="00494F1F" w:rsidRPr="00435B25" w:rsidRDefault="00494F1F" w:rsidP="00494F1F">
      <w:pPr>
        <w:pStyle w:val="NormalWeb"/>
        <w:numPr>
          <w:ilvl w:val="0"/>
          <w:numId w:val="18"/>
        </w:numPr>
        <w:spacing w:before="0" w:beforeAutospacing="0" w:after="0" w:afterAutospacing="0"/>
        <w:ind w:left="0"/>
        <w:jc w:val="both"/>
        <w:rPr>
          <w:rFonts w:ascii="Arial" w:hAnsi="Arial" w:cs="Arial"/>
          <w:color w:val="000000"/>
          <w:sz w:val="20"/>
          <w:szCs w:val="20"/>
        </w:rPr>
      </w:pPr>
      <w:r w:rsidRPr="00435B25">
        <w:rPr>
          <w:rFonts w:ascii="Arial" w:hAnsi="Arial" w:cs="Arial"/>
          <w:color w:val="000000"/>
          <w:sz w:val="20"/>
          <w:szCs w:val="20"/>
        </w:rPr>
        <w:t>write-off on account of disinvestment;</w:t>
      </w:r>
    </w:p>
    <w:p w:rsidR="00494F1F" w:rsidRPr="00435B25" w:rsidRDefault="00494F1F" w:rsidP="00494F1F">
      <w:pPr>
        <w:pStyle w:val="NormalWeb"/>
        <w:spacing w:before="0" w:beforeAutospacing="0" w:after="0" w:afterAutospacing="0"/>
        <w:jc w:val="both"/>
        <w:rPr>
          <w:rFonts w:ascii="Arial" w:hAnsi="Arial" w:cs="Arial"/>
          <w:color w:val="000000"/>
          <w:sz w:val="20"/>
          <w:szCs w:val="20"/>
        </w:rPr>
      </w:pPr>
      <w:r w:rsidRPr="00435B25">
        <w:rPr>
          <w:rFonts w:ascii="Arial" w:hAnsi="Arial" w:cs="Arial"/>
          <w:color w:val="000000"/>
          <w:sz w:val="20"/>
          <w:szCs w:val="20"/>
        </w:rPr>
        <w:t>(iv) introduction of “Late Submission Fee (LSF)” for reporting delays.</w:t>
      </w:r>
    </w:p>
    <w:p w:rsidR="00494F1F" w:rsidRDefault="00494F1F" w:rsidP="00494F1F">
      <w:pPr>
        <w:pStyle w:val="NormalWeb"/>
        <w:spacing w:after="0" w:afterAutospacing="0"/>
        <w:rPr>
          <w:rFonts w:ascii="Arial" w:hAnsi="Arial" w:cs="Arial"/>
          <w:color w:val="000000"/>
          <w:sz w:val="20"/>
          <w:szCs w:val="20"/>
        </w:rPr>
      </w:pPr>
      <w:r w:rsidRPr="00435B25">
        <w:rPr>
          <w:rFonts w:ascii="Arial" w:hAnsi="Arial" w:cs="Arial"/>
          <w:color w:val="000000"/>
          <w:sz w:val="20"/>
          <w:szCs w:val="20"/>
        </w:rPr>
        <w:t>Yours faithfully</w:t>
      </w:r>
    </w:p>
    <w:p w:rsidR="00494F1F" w:rsidRPr="00435B25" w:rsidRDefault="00494F1F" w:rsidP="00494F1F">
      <w:pPr>
        <w:pStyle w:val="NormalWeb"/>
        <w:spacing w:before="0" w:beforeAutospacing="0" w:after="0" w:afterAutospacing="0"/>
        <w:rPr>
          <w:rFonts w:ascii="Arial" w:hAnsi="Arial" w:cs="Arial"/>
          <w:color w:val="000000"/>
          <w:sz w:val="20"/>
          <w:szCs w:val="20"/>
        </w:rPr>
      </w:pPr>
      <w:r w:rsidRPr="00435B25">
        <w:rPr>
          <w:rFonts w:ascii="Arial" w:hAnsi="Arial" w:cs="Arial"/>
          <w:color w:val="000000"/>
          <w:sz w:val="20"/>
          <w:szCs w:val="20"/>
        </w:rPr>
        <w:t xml:space="preserve">Ajay Kumar </w:t>
      </w:r>
      <w:proofErr w:type="spellStart"/>
      <w:r w:rsidRPr="00435B25">
        <w:rPr>
          <w:rFonts w:ascii="Arial" w:hAnsi="Arial" w:cs="Arial"/>
          <w:color w:val="000000"/>
          <w:sz w:val="20"/>
          <w:szCs w:val="20"/>
        </w:rPr>
        <w:t>Misra</w:t>
      </w:r>
      <w:proofErr w:type="spellEnd"/>
      <w:r w:rsidRPr="00435B25">
        <w:rPr>
          <w:rFonts w:ascii="Arial" w:hAnsi="Arial" w:cs="Arial"/>
          <w:color w:val="000000"/>
          <w:sz w:val="20"/>
          <w:szCs w:val="20"/>
        </w:rPr>
        <w:br/>
        <w:t>Chief General Manager-in-Charge</w:t>
      </w:r>
    </w:p>
    <w:p w:rsidR="00494F1F" w:rsidRDefault="00494F1F" w:rsidP="00494F1F">
      <w:pPr>
        <w:rPr>
          <w:rFonts w:ascii="Arial" w:hAnsi="Arial" w:cs="Arial"/>
          <w:sz w:val="20"/>
          <w:szCs w:val="20"/>
        </w:rPr>
      </w:pPr>
    </w:p>
    <w:p w:rsidR="00494F1F" w:rsidRPr="00435B25" w:rsidRDefault="00494F1F" w:rsidP="00494F1F">
      <w:pPr>
        <w:spacing w:after="0"/>
        <w:rPr>
          <w:rFonts w:ascii="Arial" w:hAnsi="Arial" w:cs="Arial"/>
          <w:sz w:val="20"/>
          <w:szCs w:val="20"/>
        </w:rPr>
      </w:pPr>
      <w:r w:rsidRPr="00435B25">
        <w:rPr>
          <w:rFonts w:ascii="Arial" w:hAnsi="Arial" w:cs="Arial"/>
          <w:sz w:val="20"/>
          <w:szCs w:val="20"/>
        </w:rPr>
        <w:t>More details can be referred to in the below link.</w:t>
      </w:r>
    </w:p>
    <w:p w:rsidR="00494F1F" w:rsidRPr="00435B25" w:rsidRDefault="00494F1F" w:rsidP="00494F1F">
      <w:pPr>
        <w:rPr>
          <w:rFonts w:ascii="Arial" w:hAnsi="Arial" w:cs="Arial"/>
          <w:sz w:val="20"/>
          <w:szCs w:val="20"/>
        </w:rPr>
      </w:pPr>
      <w:r w:rsidRPr="00435B25">
        <w:rPr>
          <w:rFonts w:ascii="Arial" w:hAnsi="Arial" w:cs="Arial"/>
          <w:sz w:val="20"/>
          <w:szCs w:val="20"/>
        </w:rPr>
        <w:t xml:space="preserve">Reference Link: </w:t>
      </w:r>
      <w:hyperlink r:id="rId25" w:history="1">
        <w:r w:rsidRPr="00435B25">
          <w:rPr>
            <w:rStyle w:val="Hyperlink"/>
            <w:rFonts w:ascii="Arial" w:hAnsi="Arial" w:cs="Arial"/>
            <w:sz w:val="20"/>
            <w:szCs w:val="20"/>
          </w:rPr>
          <w:t>https://www.rbi.org.in/scripts/NotificationUser.aspx?Id=12381&amp;Mode=0</w:t>
        </w:r>
      </w:hyperlink>
    </w:p>
    <w:p w:rsidR="00FE15FA" w:rsidRDefault="00FE15FA" w:rsidP="00FE15FA">
      <w:pPr>
        <w:pStyle w:val="NormalWeb"/>
        <w:rPr>
          <w:rFonts w:ascii="Arial" w:hAnsi="Arial" w:cs="Arial"/>
          <w:b/>
          <w:bCs/>
          <w:color w:val="000000"/>
          <w:sz w:val="20"/>
          <w:szCs w:val="20"/>
        </w:rPr>
      </w:pPr>
      <w:r>
        <w:rPr>
          <w:rFonts w:ascii="Arial" w:hAnsi="Arial" w:cs="Arial"/>
          <w:b/>
          <w:bCs/>
          <w:color w:val="000000"/>
          <w:sz w:val="20"/>
          <w:szCs w:val="20"/>
        </w:rPr>
        <w:t>Guidelines on Digital Lending</w:t>
      </w:r>
    </w:p>
    <w:p w:rsidR="00FE15FA" w:rsidRDefault="00FE15FA" w:rsidP="00FE15FA">
      <w:pPr>
        <w:pStyle w:val="NormalWeb"/>
        <w:jc w:val="both"/>
        <w:rPr>
          <w:rFonts w:ascii="Arial" w:hAnsi="Arial" w:cs="Arial"/>
          <w:color w:val="000000"/>
          <w:sz w:val="20"/>
          <w:szCs w:val="20"/>
        </w:rPr>
      </w:pPr>
      <w:r>
        <w:rPr>
          <w:rFonts w:ascii="Arial" w:hAnsi="Arial" w:cs="Arial"/>
          <w:color w:val="000000"/>
          <w:sz w:val="20"/>
          <w:szCs w:val="20"/>
        </w:rPr>
        <w:t>RBI/2022-23/111</w:t>
      </w:r>
      <w:r>
        <w:rPr>
          <w:rFonts w:ascii="Arial" w:hAnsi="Arial" w:cs="Arial"/>
          <w:color w:val="000000"/>
          <w:sz w:val="20"/>
          <w:szCs w:val="20"/>
        </w:rPr>
        <w:br/>
        <w:t>DOR.CRE.REC.66/21.07.001/2022-23</w:t>
      </w:r>
    </w:p>
    <w:p w:rsidR="00FE15FA" w:rsidRDefault="00FE15FA" w:rsidP="00FE15FA">
      <w:pPr>
        <w:pStyle w:val="NormalWeb"/>
        <w:jc w:val="right"/>
        <w:rPr>
          <w:rFonts w:ascii="Arial" w:hAnsi="Arial" w:cs="Arial"/>
          <w:color w:val="000000"/>
          <w:sz w:val="20"/>
          <w:szCs w:val="20"/>
        </w:rPr>
      </w:pPr>
      <w:r>
        <w:rPr>
          <w:rFonts w:ascii="Arial" w:hAnsi="Arial" w:cs="Arial"/>
          <w:color w:val="000000"/>
          <w:sz w:val="20"/>
          <w:szCs w:val="20"/>
        </w:rPr>
        <w:lastRenderedPageBreak/>
        <w:t>September 02, 2022</w:t>
      </w:r>
    </w:p>
    <w:p w:rsidR="00FE15FA" w:rsidRDefault="00FE15FA" w:rsidP="00FE15FA">
      <w:pPr>
        <w:pStyle w:val="NormalWeb"/>
        <w:rPr>
          <w:rFonts w:ascii="Arial" w:hAnsi="Arial" w:cs="Arial"/>
          <w:color w:val="000000"/>
          <w:sz w:val="20"/>
          <w:szCs w:val="20"/>
        </w:rPr>
      </w:pPr>
      <w:r>
        <w:rPr>
          <w:rFonts w:ascii="Arial" w:hAnsi="Arial" w:cs="Arial"/>
          <w:color w:val="000000"/>
          <w:sz w:val="20"/>
          <w:szCs w:val="20"/>
        </w:rPr>
        <w:t>All Commercial Banks,</w:t>
      </w:r>
      <w:r>
        <w:rPr>
          <w:rFonts w:ascii="Arial" w:hAnsi="Arial" w:cs="Arial"/>
          <w:color w:val="000000"/>
          <w:sz w:val="20"/>
          <w:szCs w:val="20"/>
        </w:rPr>
        <w:br/>
        <w:t>Primary (Urban) Co-operative Banks, State Co-operative Banks,</w:t>
      </w:r>
      <w:r>
        <w:rPr>
          <w:rFonts w:ascii="Arial" w:hAnsi="Arial" w:cs="Arial"/>
          <w:color w:val="000000"/>
          <w:sz w:val="20"/>
          <w:szCs w:val="20"/>
        </w:rPr>
        <w:br/>
        <w:t>District Central Co-operative Banks; and</w:t>
      </w:r>
      <w:r>
        <w:rPr>
          <w:rFonts w:ascii="Arial" w:hAnsi="Arial" w:cs="Arial"/>
          <w:color w:val="000000"/>
          <w:sz w:val="20"/>
          <w:szCs w:val="20"/>
        </w:rPr>
        <w:br/>
        <w:t>Non-Banking Financial Companies (including Housing Finance Companies)</w:t>
      </w:r>
    </w:p>
    <w:p w:rsidR="00FE15FA" w:rsidRDefault="00FE15FA" w:rsidP="00FE15FA">
      <w:pPr>
        <w:pStyle w:val="NormalWeb"/>
        <w:rPr>
          <w:rFonts w:ascii="Arial" w:hAnsi="Arial" w:cs="Arial"/>
          <w:color w:val="000000"/>
          <w:sz w:val="20"/>
          <w:szCs w:val="20"/>
        </w:rPr>
      </w:pPr>
      <w:r>
        <w:rPr>
          <w:rFonts w:ascii="Arial" w:hAnsi="Arial" w:cs="Arial"/>
          <w:color w:val="000000"/>
          <w:sz w:val="20"/>
          <w:szCs w:val="20"/>
        </w:rPr>
        <w:t>Madam/ Sir,</w:t>
      </w:r>
    </w:p>
    <w:p w:rsidR="00FE15FA" w:rsidRDefault="00FE15FA" w:rsidP="00FE15FA">
      <w:pPr>
        <w:pStyle w:val="head"/>
        <w:jc w:val="center"/>
        <w:rPr>
          <w:rFonts w:ascii="Arial" w:hAnsi="Arial" w:cs="Arial"/>
          <w:b/>
          <w:bCs/>
          <w:color w:val="000000"/>
          <w:sz w:val="20"/>
          <w:szCs w:val="20"/>
        </w:rPr>
      </w:pPr>
      <w:r>
        <w:rPr>
          <w:rFonts w:ascii="Arial" w:hAnsi="Arial" w:cs="Arial"/>
          <w:b/>
          <w:bCs/>
          <w:color w:val="000000"/>
          <w:sz w:val="20"/>
          <w:szCs w:val="20"/>
        </w:rPr>
        <w:t>Guidelines on Digital Lending</w:t>
      </w:r>
    </w:p>
    <w:p w:rsidR="00FE15FA" w:rsidRDefault="00FE15FA" w:rsidP="00FE15FA">
      <w:pPr>
        <w:pStyle w:val="NormalWeb"/>
        <w:jc w:val="both"/>
        <w:rPr>
          <w:rFonts w:ascii="Arial" w:hAnsi="Arial" w:cs="Arial"/>
          <w:color w:val="000000"/>
          <w:sz w:val="20"/>
          <w:szCs w:val="20"/>
        </w:rPr>
      </w:pPr>
      <w:r>
        <w:rPr>
          <w:rFonts w:ascii="Arial" w:hAnsi="Arial" w:cs="Arial"/>
          <w:color w:val="000000"/>
          <w:sz w:val="20"/>
          <w:szCs w:val="20"/>
        </w:rPr>
        <w:t>A reference is invited to para 7 of the </w:t>
      </w:r>
      <w:hyperlink r:id="rId26" w:tgtFrame="_blank" w:history="1">
        <w:r>
          <w:rPr>
            <w:rStyle w:val="Hyperlink"/>
            <w:rFonts w:ascii="Arial" w:hAnsi="Arial" w:cs="Arial"/>
            <w:sz w:val="20"/>
            <w:szCs w:val="20"/>
          </w:rPr>
          <w:t>RBI Press Release “Recommendations of the Working Group on Digital Lending – Implementation” dated August 10, 2022</w:t>
        </w:r>
      </w:hyperlink>
      <w:r>
        <w:rPr>
          <w:rFonts w:ascii="Arial" w:hAnsi="Arial" w:cs="Arial"/>
          <w:color w:val="000000"/>
          <w:sz w:val="20"/>
          <w:szCs w:val="20"/>
        </w:rPr>
        <w:t>. Detailed guidelines on recommendations of the Working Group accepted for immediate implementation are attached as </w:t>
      </w:r>
      <w:hyperlink r:id="rId27" w:anchor="AN1" w:history="1">
        <w:r>
          <w:rPr>
            <w:rStyle w:val="Hyperlink"/>
            <w:rFonts w:ascii="Arial" w:hAnsi="Arial" w:cs="Arial"/>
            <w:sz w:val="20"/>
            <w:szCs w:val="20"/>
          </w:rPr>
          <w:t>Annex I</w:t>
        </w:r>
      </w:hyperlink>
      <w:r>
        <w:rPr>
          <w:rFonts w:ascii="Arial" w:hAnsi="Arial" w:cs="Arial"/>
          <w:color w:val="000000"/>
          <w:sz w:val="20"/>
          <w:szCs w:val="20"/>
        </w:rPr>
        <w:t> to this circular.</w:t>
      </w:r>
    </w:p>
    <w:p w:rsidR="00FE15FA" w:rsidRDefault="00FE15FA" w:rsidP="00FE15FA">
      <w:pPr>
        <w:pStyle w:val="NormalWeb"/>
        <w:jc w:val="both"/>
        <w:rPr>
          <w:rFonts w:ascii="Arial" w:hAnsi="Arial" w:cs="Arial"/>
          <w:color w:val="000000"/>
          <w:sz w:val="20"/>
          <w:szCs w:val="20"/>
        </w:rPr>
      </w:pPr>
      <w:r>
        <w:rPr>
          <w:rFonts w:ascii="Arial" w:hAnsi="Arial" w:cs="Arial"/>
          <w:color w:val="000000"/>
          <w:sz w:val="20"/>
          <w:szCs w:val="20"/>
        </w:rPr>
        <w:t>2. It is reiterated that outsourcing arrangements entered by Regulated Entities (REs) with a Lending Service Provider (LSP)/ Digital Lending App (DLA) does not diminish the REs’ obligations and they shall continue to conform to the extant guidelines on outsourcing</w:t>
      </w:r>
      <w:hyperlink r:id="rId28" w:anchor="F1" w:history="1">
        <w:r>
          <w:rPr>
            <w:rStyle w:val="Hyperlink"/>
            <w:rFonts w:ascii="Arial" w:hAnsi="Arial" w:cs="Arial"/>
            <w:sz w:val="15"/>
            <w:szCs w:val="15"/>
            <w:vertAlign w:val="superscript"/>
          </w:rPr>
          <w:t>1</w:t>
        </w:r>
      </w:hyperlink>
      <w:r>
        <w:rPr>
          <w:rFonts w:ascii="Arial" w:hAnsi="Arial" w:cs="Arial"/>
          <w:color w:val="000000"/>
          <w:sz w:val="20"/>
          <w:szCs w:val="20"/>
        </w:rPr>
        <w:t>. The REs are advised to ensure that the LSPs engaged by them and the DLAs (either of the RE or of the LSP engaged by the RE) comply with the guidelines contained in this circular.</w:t>
      </w:r>
    </w:p>
    <w:p w:rsidR="00FE15FA" w:rsidRDefault="00FE15FA" w:rsidP="00FE15FA">
      <w:pPr>
        <w:pStyle w:val="NormalWeb"/>
        <w:jc w:val="both"/>
        <w:rPr>
          <w:rFonts w:ascii="Arial" w:hAnsi="Arial" w:cs="Arial"/>
          <w:color w:val="000000"/>
          <w:sz w:val="20"/>
          <w:szCs w:val="20"/>
        </w:rPr>
      </w:pPr>
      <w:r>
        <w:rPr>
          <w:rFonts w:ascii="Arial" w:hAnsi="Arial" w:cs="Arial"/>
          <w:color w:val="000000"/>
          <w:sz w:val="20"/>
          <w:szCs w:val="20"/>
        </w:rPr>
        <w:t xml:space="preserve">3. It is further advised that the instructions contained in this circular shall be applicable to the ‘existing customers availing fresh loans’ and to ‘new customers getting </w:t>
      </w:r>
      <w:proofErr w:type="spellStart"/>
      <w:r>
        <w:rPr>
          <w:rFonts w:ascii="Arial" w:hAnsi="Arial" w:cs="Arial"/>
          <w:color w:val="000000"/>
          <w:sz w:val="20"/>
          <w:szCs w:val="20"/>
        </w:rPr>
        <w:t>onboarded</w:t>
      </w:r>
      <w:proofErr w:type="spellEnd"/>
      <w:r>
        <w:rPr>
          <w:rFonts w:ascii="Arial" w:hAnsi="Arial" w:cs="Arial"/>
          <w:color w:val="000000"/>
          <w:sz w:val="20"/>
          <w:szCs w:val="20"/>
        </w:rPr>
        <w:t>’, from the date of this circular. However, in order to ensure a smooth transition, REs shall be given time till November 30, 2022, to put in place adequate systems and processes to ensure that ‘existing digital loans’ (sanctioned as on the date of the circular) are also in compliance with these guidelines in both letter and spirit.</w:t>
      </w:r>
    </w:p>
    <w:p w:rsidR="00FE15FA" w:rsidRDefault="00FE15FA" w:rsidP="00FE15FA">
      <w:pPr>
        <w:pStyle w:val="NormalWeb"/>
        <w:jc w:val="both"/>
        <w:rPr>
          <w:rFonts w:ascii="Arial" w:hAnsi="Arial" w:cs="Arial"/>
          <w:color w:val="000000"/>
          <w:sz w:val="20"/>
          <w:szCs w:val="20"/>
        </w:rPr>
      </w:pPr>
      <w:r>
        <w:rPr>
          <w:rFonts w:ascii="Arial" w:hAnsi="Arial" w:cs="Arial"/>
          <w:color w:val="000000"/>
          <w:sz w:val="20"/>
          <w:szCs w:val="20"/>
        </w:rPr>
        <w:t>4. These directions are issued under sections 21, 35A and 56 of the Banking Regulation Act, 1949, sections 45JA, 45L and 45M of the Reserve Bank of India Act, 1934, sections 30A and 32 of the National Housing Bank Act, 1987, section 6 of the Factoring Regulation Act, 2011 and section 11 of the Credit Information Companies (Regulation) Act, 2005.</w:t>
      </w:r>
    </w:p>
    <w:p w:rsidR="00FE15FA" w:rsidRDefault="00FE15FA" w:rsidP="00FE15FA">
      <w:pPr>
        <w:pStyle w:val="NormalWeb"/>
        <w:spacing w:after="0" w:afterAutospacing="0"/>
        <w:rPr>
          <w:rFonts w:ascii="Arial" w:hAnsi="Arial" w:cs="Arial"/>
          <w:color w:val="000000"/>
          <w:sz w:val="20"/>
          <w:szCs w:val="20"/>
        </w:rPr>
      </w:pPr>
      <w:r>
        <w:rPr>
          <w:rFonts w:ascii="Arial" w:hAnsi="Arial" w:cs="Arial"/>
          <w:color w:val="000000"/>
          <w:sz w:val="20"/>
          <w:szCs w:val="20"/>
        </w:rPr>
        <w:t>Yours faithfully,</w:t>
      </w:r>
    </w:p>
    <w:p w:rsidR="00FE15FA" w:rsidRDefault="00FE15FA" w:rsidP="00FE15FA">
      <w:pPr>
        <w:pStyle w:val="NormalWeb"/>
        <w:spacing w:before="0" w:beforeAutospacing="0"/>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Manoranjan</w:t>
      </w:r>
      <w:proofErr w:type="spellEnd"/>
      <w:r>
        <w:rPr>
          <w:rFonts w:ascii="Arial" w:hAnsi="Arial" w:cs="Arial"/>
          <w:color w:val="000000"/>
          <w:sz w:val="20"/>
          <w:szCs w:val="20"/>
        </w:rPr>
        <w:t xml:space="preserve"> Mishra)</w:t>
      </w:r>
      <w:r>
        <w:rPr>
          <w:rFonts w:ascii="Arial" w:hAnsi="Arial" w:cs="Arial"/>
          <w:color w:val="000000"/>
          <w:sz w:val="20"/>
          <w:szCs w:val="20"/>
        </w:rPr>
        <w:br/>
        <w:t>Chief General Manager</w:t>
      </w:r>
    </w:p>
    <w:p w:rsidR="00FE15FA" w:rsidRDefault="00FE15FA" w:rsidP="00FE15FA">
      <w:pPr>
        <w:spacing w:before="240" w:after="240"/>
        <w:rPr>
          <w:rFonts w:ascii="Times New Roman" w:hAnsi="Times New Roman" w:cs="Times New Roman"/>
          <w:sz w:val="24"/>
          <w:szCs w:val="24"/>
        </w:rPr>
      </w:pPr>
    </w:p>
    <w:p w:rsidR="00FE15FA" w:rsidRDefault="00FE15FA" w:rsidP="00FE15FA">
      <w:pPr>
        <w:spacing w:before="240" w:after="240"/>
        <w:rPr>
          <w:rFonts w:ascii="Times New Roman" w:hAnsi="Times New Roman" w:cs="Times New Roman"/>
          <w:sz w:val="24"/>
          <w:szCs w:val="24"/>
        </w:rPr>
      </w:pPr>
    </w:p>
    <w:p w:rsidR="00FE15FA" w:rsidRDefault="00FE15FA" w:rsidP="00FE15FA">
      <w:r>
        <w:t>More details can be referred to in the below link.</w:t>
      </w:r>
    </w:p>
    <w:p w:rsidR="00FE15FA" w:rsidRDefault="00FE15FA" w:rsidP="00FE15FA">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29" w:history="1">
        <w:r w:rsidRPr="006865D6">
          <w:rPr>
            <w:rStyle w:val="Hyperlink"/>
            <w:rFonts w:ascii="Arial" w:hAnsi="Arial" w:cs="Arial"/>
            <w:bCs/>
            <w:sz w:val="20"/>
            <w:szCs w:val="20"/>
          </w:rPr>
          <w:t>https://rbi.org.in/Scripts/BS_CircularIndexDisplay.aspx?Id=12382</w:t>
        </w:r>
      </w:hyperlink>
    </w:p>
    <w:p w:rsidR="00FE15FA" w:rsidRDefault="00FE15FA" w:rsidP="00FE15FA">
      <w:pPr>
        <w:pStyle w:val="NormalWeb"/>
        <w:rPr>
          <w:rFonts w:ascii="Arial" w:hAnsi="Arial" w:cs="Arial"/>
          <w:bCs/>
          <w:color w:val="000000"/>
          <w:sz w:val="20"/>
          <w:szCs w:val="20"/>
        </w:rPr>
      </w:pPr>
    </w:p>
    <w:p w:rsidR="00213882" w:rsidRDefault="00213882" w:rsidP="00213882">
      <w:pPr>
        <w:spacing w:line="259" w:lineRule="auto"/>
        <w:rPr>
          <w:rFonts w:ascii="Arial" w:hAnsi="Arial" w:cs="Arial"/>
          <w:sz w:val="20"/>
          <w:szCs w:val="20"/>
        </w:rPr>
      </w:pPr>
    </w:p>
    <w:p w:rsidR="00213882" w:rsidRDefault="00213882" w:rsidP="00213882">
      <w:pPr>
        <w:spacing w:line="259" w:lineRule="auto"/>
        <w:rPr>
          <w:rFonts w:ascii="Arial" w:hAnsi="Arial" w:cs="Arial"/>
          <w:sz w:val="20"/>
          <w:szCs w:val="20"/>
        </w:rPr>
      </w:pPr>
    </w:p>
    <w:p w:rsidR="00B517AF" w:rsidRDefault="00B517AF" w:rsidP="00E047EF">
      <w:pPr>
        <w:spacing w:after="0"/>
        <w:rPr>
          <w:rFonts w:ascii="Arial" w:hAnsi="Arial" w:cs="Arial"/>
          <w:sz w:val="20"/>
          <w:szCs w:val="20"/>
        </w:rPr>
      </w:pPr>
    </w:p>
    <w:p w:rsidR="00B517AF" w:rsidRDefault="00B517AF" w:rsidP="00E047EF">
      <w:pPr>
        <w:spacing w:after="0"/>
        <w:rPr>
          <w:rFonts w:ascii="Arial" w:hAnsi="Arial" w:cs="Arial"/>
          <w:b/>
          <w:bCs/>
          <w:color w:val="000000"/>
          <w:sz w:val="20"/>
          <w:szCs w:val="20"/>
        </w:rPr>
      </w:pPr>
      <w:r>
        <w:rPr>
          <w:rFonts w:ascii="Arial" w:hAnsi="Arial" w:cs="Arial"/>
          <w:b/>
          <w:bCs/>
          <w:color w:val="000000"/>
          <w:sz w:val="20"/>
          <w:szCs w:val="20"/>
        </w:rPr>
        <w:t>Review of Prudential Norms – Risk Weights for Exposures guaranteed by Credit Guarantee Schemes (CGS)</w:t>
      </w:r>
    </w:p>
    <w:p w:rsidR="00B517AF" w:rsidRDefault="00B517AF" w:rsidP="00B517AF">
      <w:pPr>
        <w:pStyle w:val="NormalWeb"/>
        <w:jc w:val="both"/>
        <w:rPr>
          <w:rFonts w:ascii="Arial" w:hAnsi="Arial" w:cs="Arial"/>
          <w:color w:val="000000"/>
          <w:sz w:val="20"/>
          <w:szCs w:val="20"/>
        </w:rPr>
      </w:pPr>
      <w:r>
        <w:rPr>
          <w:rFonts w:ascii="Arial" w:hAnsi="Arial" w:cs="Arial"/>
          <w:color w:val="000000"/>
          <w:sz w:val="20"/>
          <w:szCs w:val="20"/>
        </w:rPr>
        <w:t>RBI/2022-23/113</w:t>
      </w:r>
      <w:r>
        <w:rPr>
          <w:rFonts w:ascii="Arial" w:hAnsi="Arial" w:cs="Arial"/>
          <w:color w:val="000000"/>
          <w:sz w:val="20"/>
          <w:szCs w:val="20"/>
        </w:rPr>
        <w:br/>
        <w:t>DOR.STR.REC.67/21.06.201/2022-23</w:t>
      </w:r>
    </w:p>
    <w:p w:rsidR="00B517AF" w:rsidRDefault="00B517AF" w:rsidP="00B517AF">
      <w:pPr>
        <w:pStyle w:val="NormalWeb"/>
        <w:jc w:val="right"/>
        <w:rPr>
          <w:rFonts w:ascii="Arial" w:hAnsi="Arial" w:cs="Arial"/>
          <w:color w:val="000000"/>
          <w:sz w:val="20"/>
          <w:szCs w:val="20"/>
        </w:rPr>
      </w:pPr>
      <w:r>
        <w:rPr>
          <w:rFonts w:ascii="Arial" w:hAnsi="Arial" w:cs="Arial"/>
          <w:color w:val="000000"/>
          <w:sz w:val="20"/>
          <w:szCs w:val="20"/>
        </w:rPr>
        <w:lastRenderedPageBreak/>
        <w:t>September 07, 2022</w:t>
      </w:r>
    </w:p>
    <w:p w:rsidR="00B517AF" w:rsidRDefault="00B517AF" w:rsidP="00B517AF">
      <w:pPr>
        <w:pStyle w:val="NormalWeb"/>
        <w:rPr>
          <w:rFonts w:ascii="Arial" w:hAnsi="Arial" w:cs="Arial"/>
          <w:color w:val="000000"/>
          <w:sz w:val="20"/>
          <w:szCs w:val="20"/>
        </w:rPr>
      </w:pPr>
      <w:r>
        <w:rPr>
          <w:rFonts w:ascii="Arial" w:hAnsi="Arial" w:cs="Arial"/>
          <w:color w:val="000000"/>
          <w:sz w:val="20"/>
          <w:szCs w:val="20"/>
        </w:rPr>
        <w:t>All Scheduled Commercial Banks (including Regional Rural Banks)</w:t>
      </w:r>
      <w:r>
        <w:rPr>
          <w:rFonts w:ascii="Arial" w:hAnsi="Arial" w:cs="Arial"/>
          <w:color w:val="000000"/>
          <w:sz w:val="20"/>
          <w:szCs w:val="20"/>
        </w:rPr>
        <w:br/>
        <w:t>All Primary (Urban) Co-operative Banks</w:t>
      </w:r>
      <w:r>
        <w:rPr>
          <w:rFonts w:ascii="Arial" w:hAnsi="Arial" w:cs="Arial"/>
          <w:color w:val="000000"/>
          <w:sz w:val="20"/>
          <w:szCs w:val="20"/>
        </w:rPr>
        <w:br/>
        <w:t>All Non-Banking Financial Companies (including Housing Finance Companies)</w:t>
      </w:r>
      <w:r>
        <w:rPr>
          <w:rFonts w:ascii="Arial" w:hAnsi="Arial" w:cs="Arial"/>
          <w:color w:val="000000"/>
          <w:sz w:val="20"/>
          <w:szCs w:val="20"/>
        </w:rPr>
        <w:br/>
        <w:t>All All-India Financial Institutions</w:t>
      </w:r>
    </w:p>
    <w:p w:rsidR="00B517AF" w:rsidRDefault="00B517AF" w:rsidP="00B517AF">
      <w:pPr>
        <w:pStyle w:val="NormalWeb"/>
        <w:jc w:val="both"/>
        <w:rPr>
          <w:rFonts w:ascii="Arial" w:hAnsi="Arial" w:cs="Arial"/>
          <w:color w:val="000000"/>
          <w:sz w:val="20"/>
          <w:szCs w:val="20"/>
        </w:rPr>
      </w:pPr>
      <w:r>
        <w:rPr>
          <w:rFonts w:ascii="Arial" w:hAnsi="Arial" w:cs="Arial"/>
          <w:color w:val="000000"/>
          <w:sz w:val="20"/>
          <w:szCs w:val="20"/>
        </w:rPr>
        <w:t>Dear Sir/Madam,</w:t>
      </w:r>
    </w:p>
    <w:p w:rsidR="00B517AF" w:rsidRDefault="00B517AF" w:rsidP="00B517AF">
      <w:pPr>
        <w:pStyle w:val="head"/>
        <w:jc w:val="both"/>
        <w:rPr>
          <w:rFonts w:ascii="Arial" w:hAnsi="Arial" w:cs="Arial"/>
          <w:b/>
          <w:bCs/>
          <w:color w:val="000000"/>
          <w:sz w:val="20"/>
          <w:szCs w:val="20"/>
        </w:rPr>
      </w:pPr>
      <w:r>
        <w:rPr>
          <w:rFonts w:ascii="Arial" w:hAnsi="Arial" w:cs="Arial"/>
          <w:b/>
          <w:bCs/>
          <w:color w:val="000000"/>
          <w:sz w:val="20"/>
          <w:szCs w:val="20"/>
        </w:rPr>
        <w:t>Review of Prudential Norms – Risk Weights for Exposures guaranteed by Credit Guarantee Schemes (CGS)</w:t>
      </w:r>
    </w:p>
    <w:p w:rsidR="00B517AF" w:rsidRDefault="00B517AF" w:rsidP="00B517AF">
      <w:pPr>
        <w:pStyle w:val="NormalWeb"/>
        <w:jc w:val="both"/>
        <w:rPr>
          <w:rFonts w:ascii="Arial" w:hAnsi="Arial" w:cs="Arial"/>
          <w:color w:val="000000"/>
          <w:sz w:val="20"/>
          <w:szCs w:val="20"/>
        </w:rPr>
      </w:pPr>
      <w:r>
        <w:rPr>
          <w:rFonts w:ascii="Arial" w:hAnsi="Arial" w:cs="Arial"/>
          <w:color w:val="000000"/>
          <w:sz w:val="20"/>
          <w:szCs w:val="20"/>
        </w:rPr>
        <w:t>Please refer to paragraph 5.2 of the </w:t>
      </w:r>
      <w:hyperlink r:id="rId30" w:tgtFrame="_blank" w:history="1">
        <w:r>
          <w:rPr>
            <w:rStyle w:val="Hyperlink"/>
            <w:rFonts w:ascii="Arial" w:hAnsi="Arial" w:cs="Arial"/>
            <w:sz w:val="20"/>
            <w:szCs w:val="20"/>
          </w:rPr>
          <w:t>Master Circular on Basel III Capital Regulations dated April 1, 2022</w:t>
        </w:r>
      </w:hyperlink>
      <w:r>
        <w:rPr>
          <w:rFonts w:ascii="Arial" w:hAnsi="Arial" w:cs="Arial"/>
          <w:color w:val="000000"/>
          <w:sz w:val="20"/>
          <w:szCs w:val="20"/>
        </w:rPr>
        <w:t> in terms of which banks are permitted to apply zero percent risk weights in respect of claims on Credit Guarantee Fund Trust for Micro and Small Enterprises (CGTMSE), Credit Risk Guarantee Fund Trust for Low Income Housing (CRGFTLIH) and individual schemes under National Credit Guarantee Trustee Company Ltd (NCGTC).</w:t>
      </w:r>
    </w:p>
    <w:p w:rsidR="00B517AF" w:rsidRDefault="00B517AF" w:rsidP="00B517AF">
      <w:pPr>
        <w:pStyle w:val="NormalWeb"/>
        <w:jc w:val="both"/>
        <w:rPr>
          <w:rFonts w:ascii="Arial" w:hAnsi="Arial" w:cs="Arial"/>
          <w:color w:val="000000"/>
          <w:sz w:val="20"/>
          <w:szCs w:val="20"/>
        </w:rPr>
      </w:pPr>
      <w:r>
        <w:rPr>
          <w:rFonts w:ascii="Arial" w:hAnsi="Arial" w:cs="Arial"/>
          <w:color w:val="000000"/>
          <w:sz w:val="20"/>
          <w:szCs w:val="20"/>
        </w:rPr>
        <w:t>2. In order to have a consistent approach with regard to risk weights for exposures guaranteed by such Trust Funds, it is advised that the risk weight of zero percent shall be applicable in respect of exposures guaranteed under any existing or future schemes launched by CGTMSE, CRGFTLIH and NCGTC satisfying the following conditions:</w:t>
      </w:r>
    </w:p>
    <w:p w:rsidR="00B517AF" w:rsidRDefault="00B517AF" w:rsidP="00B517AF">
      <w:pPr>
        <w:pStyle w:val="NormalWeb"/>
        <w:numPr>
          <w:ilvl w:val="0"/>
          <w:numId w:val="38"/>
        </w:numPr>
        <w:ind w:left="0"/>
        <w:jc w:val="both"/>
        <w:rPr>
          <w:rFonts w:ascii="Arial" w:hAnsi="Arial" w:cs="Arial"/>
          <w:color w:val="000000"/>
          <w:sz w:val="20"/>
          <w:szCs w:val="20"/>
        </w:rPr>
      </w:pPr>
      <w:r>
        <w:rPr>
          <w:rStyle w:val="head1"/>
          <w:rFonts w:ascii="Arial" w:hAnsi="Arial" w:cs="Arial"/>
          <w:b/>
          <w:bCs/>
          <w:color w:val="000000"/>
          <w:sz w:val="20"/>
          <w:szCs w:val="20"/>
        </w:rPr>
        <w:t>Prudential Aspects:</w:t>
      </w:r>
      <w:r>
        <w:rPr>
          <w:rFonts w:ascii="Arial" w:hAnsi="Arial" w:cs="Arial"/>
          <w:color w:val="000000"/>
          <w:sz w:val="20"/>
          <w:szCs w:val="20"/>
        </w:rPr>
        <w:t> The guarantees provided under the respective schemes should comply with the requirements for credit risk mitigation in terms of paragraph 7.5 of the </w:t>
      </w:r>
      <w:hyperlink r:id="rId31" w:tgtFrame="_blank" w:history="1">
        <w:r>
          <w:rPr>
            <w:rStyle w:val="Hyperlink"/>
            <w:rFonts w:ascii="Arial" w:hAnsi="Arial" w:cs="Arial"/>
            <w:sz w:val="20"/>
            <w:szCs w:val="20"/>
          </w:rPr>
          <w:t>Master Circular on Basel III Capital Regulations dated April 1, 2022</w:t>
        </w:r>
      </w:hyperlink>
      <w:r>
        <w:rPr>
          <w:rFonts w:ascii="Arial" w:hAnsi="Arial" w:cs="Arial"/>
          <w:color w:val="000000"/>
          <w:sz w:val="20"/>
          <w:szCs w:val="20"/>
        </w:rPr>
        <w:t> which inter alia requires such guarantees to be direct, explicit, irrevocable and unconditional;</w:t>
      </w:r>
    </w:p>
    <w:p w:rsidR="00B517AF" w:rsidRDefault="00B517AF" w:rsidP="00B517AF">
      <w:pPr>
        <w:pStyle w:val="NormalWeb"/>
        <w:numPr>
          <w:ilvl w:val="0"/>
          <w:numId w:val="38"/>
        </w:numPr>
        <w:ind w:left="0"/>
        <w:jc w:val="both"/>
        <w:rPr>
          <w:rFonts w:ascii="Arial" w:hAnsi="Arial" w:cs="Arial"/>
          <w:color w:val="000000"/>
          <w:sz w:val="20"/>
          <w:szCs w:val="20"/>
        </w:rPr>
      </w:pPr>
      <w:r>
        <w:rPr>
          <w:rStyle w:val="head1"/>
          <w:rFonts w:ascii="Arial" w:hAnsi="Arial" w:cs="Arial"/>
          <w:b/>
          <w:bCs/>
          <w:color w:val="000000"/>
          <w:sz w:val="20"/>
          <w:szCs w:val="20"/>
        </w:rPr>
        <w:t>Restrictions on permissible claims:</w:t>
      </w:r>
      <w:r>
        <w:rPr>
          <w:rFonts w:ascii="Arial" w:hAnsi="Arial" w:cs="Arial"/>
          <w:color w:val="000000"/>
          <w:sz w:val="20"/>
          <w:szCs w:val="20"/>
        </w:rPr>
        <w:t xml:space="preserve"> Where the terms of the guarantee schemes restrict the maximum permissible claims through features like specified extent of guarantee coverage, clause on first loss absorption by member lending institutions (MLI), </w:t>
      </w:r>
      <w:proofErr w:type="spellStart"/>
      <w:r>
        <w:rPr>
          <w:rFonts w:ascii="Arial" w:hAnsi="Arial" w:cs="Arial"/>
          <w:color w:val="000000"/>
          <w:sz w:val="20"/>
          <w:szCs w:val="20"/>
        </w:rPr>
        <w:t>payout</w:t>
      </w:r>
      <w:proofErr w:type="spellEnd"/>
      <w:r>
        <w:rPr>
          <w:rFonts w:ascii="Arial" w:hAnsi="Arial" w:cs="Arial"/>
          <w:color w:val="000000"/>
          <w:sz w:val="20"/>
          <w:szCs w:val="20"/>
        </w:rPr>
        <w:t xml:space="preserve"> cap, etc., the zero percent risk weight shall be restricted to the maximum permissible claim and the residual exposure shall be subjected to risk weight as applicable to the counterparty in terms of extant regulations.</w:t>
      </w:r>
    </w:p>
    <w:p w:rsidR="00B517AF" w:rsidRDefault="00B517AF" w:rsidP="00B517AF">
      <w:pPr>
        <w:pStyle w:val="NormalWeb"/>
        <w:numPr>
          <w:ilvl w:val="0"/>
          <w:numId w:val="38"/>
        </w:numPr>
        <w:ind w:left="0"/>
        <w:jc w:val="both"/>
        <w:rPr>
          <w:rFonts w:ascii="Arial" w:hAnsi="Arial" w:cs="Arial"/>
          <w:color w:val="000000"/>
          <w:sz w:val="20"/>
          <w:szCs w:val="20"/>
        </w:rPr>
      </w:pPr>
      <w:r>
        <w:rPr>
          <w:rFonts w:ascii="Arial" w:hAnsi="Arial" w:cs="Arial"/>
          <w:color w:val="000000"/>
          <w:sz w:val="20"/>
          <w:szCs w:val="20"/>
        </w:rPr>
        <w:t>In case of a portfolio-level guarantee, effective from April 1, 2023, the extent of exposure subjected to first loss absorption by the MLI, if any, shall be subjected to full capital deduction and the residual exposure shall be subjected to risk weight as applicable to the counterparty in terms of extant regulations, on a pro rata basis. The maximum capital charge shall be capped at a notional level arrived at by treating the entire exposure as unguaranteed.</w:t>
      </w:r>
    </w:p>
    <w:p w:rsidR="00B517AF" w:rsidRDefault="00B517AF" w:rsidP="00B517AF">
      <w:pPr>
        <w:pStyle w:val="NormalWeb"/>
        <w:spacing w:after="0" w:afterAutospacing="0"/>
        <w:jc w:val="both"/>
        <w:rPr>
          <w:rFonts w:ascii="Arial" w:hAnsi="Arial" w:cs="Arial"/>
          <w:color w:val="000000"/>
          <w:sz w:val="20"/>
          <w:szCs w:val="20"/>
        </w:rPr>
      </w:pPr>
      <w:r>
        <w:rPr>
          <w:rFonts w:ascii="Arial" w:hAnsi="Arial" w:cs="Arial"/>
          <w:color w:val="000000"/>
          <w:sz w:val="20"/>
          <w:szCs w:val="20"/>
        </w:rPr>
        <w:t>Yours faithfully,</w:t>
      </w:r>
    </w:p>
    <w:p w:rsidR="00B517AF" w:rsidRDefault="00B517AF" w:rsidP="00B517AF">
      <w:pPr>
        <w:pStyle w:val="NormalWeb"/>
        <w:spacing w:before="0" w:beforeAutospacing="0"/>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Manoranjan</w:t>
      </w:r>
      <w:proofErr w:type="spellEnd"/>
      <w:r>
        <w:rPr>
          <w:rFonts w:ascii="Arial" w:hAnsi="Arial" w:cs="Arial"/>
          <w:color w:val="000000"/>
          <w:sz w:val="20"/>
          <w:szCs w:val="20"/>
        </w:rPr>
        <w:t xml:space="preserve"> Mishra)</w:t>
      </w:r>
      <w:r>
        <w:rPr>
          <w:rFonts w:ascii="Arial" w:hAnsi="Arial" w:cs="Arial"/>
          <w:color w:val="000000"/>
          <w:sz w:val="20"/>
          <w:szCs w:val="20"/>
        </w:rPr>
        <w:br/>
        <w:t>Chief General Manager</w:t>
      </w:r>
    </w:p>
    <w:p w:rsidR="00B517AF" w:rsidRDefault="00B517AF" w:rsidP="00B517AF"/>
    <w:p w:rsidR="00B517AF" w:rsidRDefault="00B517AF" w:rsidP="00B517AF"/>
    <w:p w:rsidR="00B517AF" w:rsidRDefault="00B517AF" w:rsidP="00B517AF"/>
    <w:p w:rsidR="00B517AF" w:rsidRDefault="00B517AF" w:rsidP="00B517AF">
      <w:r>
        <w:t>More details can be referred to in the below link.</w:t>
      </w:r>
    </w:p>
    <w:p w:rsidR="00B517AF" w:rsidRDefault="00B517AF" w:rsidP="00B517AF">
      <w:pPr>
        <w:spacing w:after="0"/>
        <w:rPr>
          <w:rFonts w:ascii="Arial" w:hAnsi="Arial" w:cs="Arial"/>
          <w:bCs/>
          <w:color w:val="000000"/>
          <w:sz w:val="20"/>
          <w:szCs w:val="20"/>
        </w:rPr>
      </w:pPr>
      <w:r>
        <w:rPr>
          <w:rFonts w:ascii="Arial" w:hAnsi="Arial" w:cs="Arial"/>
          <w:bCs/>
          <w:color w:val="000000"/>
          <w:sz w:val="20"/>
          <w:szCs w:val="20"/>
        </w:rPr>
        <w:t xml:space="preserve">Reference Link: </w:t>
      </w:r>
      <w:hyperlink r:id="rId32" w:history="1">
        <w:r w:rsidRPr="00550186">
          <w:rPr>
            <w:rStyle w:val="Hyperlink"/>
            <w:rFonts w:ascii="Arial" w:hAnsi="Arial" w:cs="Arial"/>
            <w:bCs/>
            <w:sz w:val="20"/>
            <w:szCs w:val="20"/>
          </w:rPr>
          <w:t>https://www.rbi.org.in/scripts/NotificationUser.aspx?Id=12384&amp;Mode=0</w:t>
        </w:r>
      </w:hyperlink>
    </w:p>
    <w:p w:rsidR="00E047EF" w:rsidRDefault="00E047EF" w:rsidP="00B517AF">
      <w:pPr>
        <w:spacing w:after="0"/>
        <w:rPr>
          <w:rFonts w:ascii="Arial" w:hAnsi="Arial" w:cs="Arial"/>
          <w:b/>
          <w:bCs/>
          <w:color w:val="000000"/>
          <w:sz w:val="20"/>
          <w:szCs w:val="20"/>
        </w:rPr>
      </w:pPr>
      <w:r>
        <w:rPr>
          <w:rFonts w:ascii="Arial" w:hAnsi="Arial" w:cs="Arial"/>
          <w:b/>
          <w:bCs/>
          <w:color w:val="000000"/>
          <w:sz w:val="20"/>
          <w:szCs w:val="20"/>
        </w:rPr>
        <w:t>Late Submission Fee for reporting delays under Foreign Exchange Management Act, 1999 (FEMA)</w:t>
      </w:r>
    </w:p>
    <w:p w:rsidR="00E047EF" w:rsidRDefault="00E047EF" w:rsidP="00E047EF">
      <w:pPr>
        <w:spacing w:after="0"/>
        <w:rPr>
          <w:rFonts w:ascii="Arial" w:hAnsi="Arial" w:cs="Arial"/>
          <w:b/>
          <w:bCs/>
          <w:color w:val="000000"/>
          <w:sz w:val="20"/>
          <w:szCs w:val="20"/>
        </w:rPr>
      </w:pPr>
    </w:p>
    <w:p w:rsidR="00E047EF" w:rsidRDefault="00E047EF" w:rsidP="00E047EF">
      <w:pPr>
        <w:pStyle w:val="NormalWeb"/>
        <w:jc w:val="both"/>
        <w:rPr>
          <w:rFonts w:ascii="Arial" w:hAnsi="Arial" w:cs="Arial"/>
          <w:color w:val="000000"/>
          <w:sz w:val="20"/>
          <w:szCs w:val="20"/>
        </w:rPr>
      </w:pPr>
      <w:r>
        <w:rPr>
          <w:rFonts w:ascii="Arial" w:hAnsi="Arial" w:cs="Arial"/>
          <w:color w:val="000000"/>
          <w:sz w:val="20"/>
          <w:szCs w:val="20"/>
        </w:rPr>
        <w:t>RBI/2022-23/122</w:t>
      </w:r>
      <w:r>
        <w:rPr>
          <w:rFonts w:ascii="Arial" w:hAnsi="Arial" w:cs="Arial"/>
          <w:color w:val="000000"/>
          <w:sz w:val="20"/>
          <w:szCs w:val="20"/>
        </w:rPr>
        <w:br/>
        <w:t>A.P. (DIR Series) Circular No. 16</w:t>
      </w:r>
    </w:p>
    <w:p w:rsidR="00E047EF" w:rsidRDefault="00E047EF" w:rsidP="00E047EF">
      <w:pPr>
        <w:pStyle w:val="NormalWeb"/>
        <w:jc w:val="right"/>
        <w:rPr>
          <w:rFonts w:ascii="Arial" w:hAnsi="Arial" w:cs="Arial"/>
          <w:color w:val="000000"/>
          <w:sz w:val="20"/>
          <w:szCs w:val="20"/>
        </w:rPr>
      </w:pPr>
      <w:r>
        <w:rPr>
          <w:rFonts w:ascii="Arial" w:hAnsi="Arial" w:cs="Arial"/>
          <w:color w:val="000000"/>
          <w:sz w:val="20"/>
          <w:szCs w:val="20"/>
        </w:rPr>
        <w:lastRenderedPageBreak/>
        <w:t>September 30, 2022</w:t>
      </w:r>
    </w:p>
    <w:p w:rsidR="00E047EF" w:rsidRDefault="00E047EF" w:rsidP="00E047EF">
      <w:pPr>
        <w:pStyle w:val="NormalWeb"/>
        <w:jc w:val="both"/>
        <w:rPr>
          <w:rFonts w:ascii="Arial" w:hAnsi="Arial" w:cs="Arial"/>
          <w:color w:val="000000"/>
          <w:sz w:val="20"/>
          <w:szCs w:val="20"/>
        </w:rPr>
      </w:pPr>
      <w:r>
        <w:rPr>
          <w:rFonts w:ascii="Arial" w:hAnsi="Arial" w:cs="Arial"/>
          <w:color w:val="000000"/>
          <w:sz w:val="20"/>
          <w:szCs w:val="20"/>
        </w:rPr>
        <w:t>To</w:t>
      </w:r>
      <w:r>
        <w:rPr>
          <w:rFonts w:ascii="Arial" w:hAnsi="Arial" w:cs="Arial"/>
          <w:color w:val="000000"/>
          <w:sz w:val="20"/>
          <w:szCs w:val="20"/>
        </w:rPr>
        <w:br/>
        <w:t>All Category-I Authorised Dealer Banks</w:t>
      </w:r>
    </w:p>
    <w:p w:rsidR="00E047EF" w:rsidRDefault="00E047EF" w:rsidP="00E047EF">
      <w:pPr>
        <w:pStyle w:val="NormalWeb"/>
        <w:jc w:val="both"/>
        <w:rPr>
          <w:rFonts w:ascii="Arial" w:hAnsi="Arial" w:cs="Arial"/>
          <w:color w:val="000000"/>
          <w:sz w:val="20"/>
          <w:szCs w:val="20"/>
        </w:rPr>
      </w:pPr>
      <w:r>
        <w:rPr>
          <w:rFonts w:ascii="Arial" w:hAnsi="Arial" w:cs="Arial"/>
          <w:color w:val="000000"/>
          <w:sz w:val="20"/>
          <w:szCs w:val="20"/>
        </w:rPr>
        <w:t>Madam / Sir</w:t>
      </w:r>
    </w:p>
    <w:p w:rsidR="00E047EF" w:rsidRDefault="00E047EF" w:rsidP="00E047EF">
      <w:pPr>
        <w:pStyle w:val="head"/>
        <w:jc w:val="center"/>
        <w:rPr>
          <w:rFonts w:ascii="Arial" w:hAnsi="Arial" w:cs="Arial"/>
          <w:b/>
          <w:bCs/>
          <w:color w:val="000000"/>
          <w:sz w:val="20"/>
          <w:szCs w:val="20"/>
        </w:rPr>
      </w:pPr>
      <w:r>
        <w:rPr>
          <w:rFonts w:ascii="Arial" w:hAnsi="Arial" w:cs="Arial"/>
          <w:b/>
          <w:bCs/>
          <w:color w:val="000000"/>
          <w:sz w:val="20"/>
          <w:szCs w:val="20"/>
        </w:rPr>
        <w:t>Late Submission Fee for reporting delays under Foreign Exchange Management Act, 1999 (FEMA)</w:t>
      </w:r>
    </w:p>
    <w:p w:rsidR="00E047EF" w:rsidRDefault="00E047EF" w:rsidP="00E047EF">
      <w:pPr>
        <w:pStyle w:val="NormalWeb"/>
        <w:jc w:val="both"/>
        <w:rPr>
          <w:rFonts w:ascii="Arial" w:hAnsi="Arial" w:cs="Arial"/>
          <w:color w:val="000000"/>
          <w:sz w:val="20"/>
          <w:szCs w:val="20"/>
        </w:rPr>
      </w:pPr>
      <w:r>
        <w:rPr>
          <w:rFonts w:ascii="Arial" w:hAnsi="Arial" w:cs="Arial"/>
          <w:color w:val="000000"/>
          <w:sz w:val="20"/>
          <w:szCs w:val="20"/>
        </w:rPr>
        <w:t>The Late Submission Fee (LSF) was introduced for reporting delays in Foreign Investment (FI), External Commercial Borrowings (ECBs) and Overseas Investment related transactions with effect from November 07, 2017, January 16, 2019 and August 22, 2022 respectively. It has now been decided to bring uniformity in imposition of LSF across functions. The following matrix shall be used henceforth for calculation of LSF, wherever applicable:</w:t>
      </w:r>
    </w:p>
    <w:tbl>
      <w:tblPr>
        <w:tblW w:w="47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7"/>
        <w:gridCol w:w="5812"/>
        <w:gridCol w:w="1841"/>
      </w:tblGrid>
      <w:tr w:rsidR="00E047EF" w:rsidTr="00E047EF">
        <w:tc>
          <w:tcPr>
            <w:tcW w:w="498" w:type="pct"/>
            <w:tcMar>
              <w:top w:w="0" w:type="dxa"/>
              <w:left w:w="45" w:type="dxa"/>
              <w:bottom w:w="0" w:type="dxa"/>
              <w:right w:w="45" w:type="dxa"/>
            </w:tcMar>
            <w:vAlign w:val="center"/>
            <w:hideMark/>
          </w:tcPr>
          <w:p w:rsidR="00E047EF" w:rsidRDefault="00E047EF" w:rsidP="007E4525">
            <w:pPr>
              <w:spacing w:line="240" w:lineRule="auto"/>
              <w:jc w:val="center"/>
              <w:rPr>
                <w:rFonts w:ascii="Arial" w:hAnsi="Arial" w:cs="Arial"/>
                <w:b/>
                <w:bCs/>
                <w:color w:val="000000"/>
                <w:sz w:val="20"/>
                <w:szCs w:val="20"/>
              </w:rPr>
            </w:pPr>
            <w:r>
              <w:rPr>
                <w:rFonts w:ascii="Arial" w:hAnsi="Arial" w:cs="Arial"/>
                <w:b/>
                <w:bCs/>
                <w:color w:val="000000"/>
                <w:sz w:val="20"/>
                <w:szCs w:val="20"/>
              </w:rPr>
              <w:t>Sr. No.</w:t>
            </w:r>
          </w:p>
        </w:tc>
        <w:tc>
          <w:tcPr>
            <w:tcW w:w="3419" w:type="pct"/>
            <w:tcMar>
              <w:top w:w="0" w:type="dxa"/>
              <w:left w:w="45" w:type="dxa"/>
              <w:bottom w:w="0" w:type="dxa"/>
              <w:right w:w="45" w:type="dxa"/>
            </w:tcMar>
            <w:vAlign w:val="center"/>
            <w:hideMark/>
          </w:tcPr>
          <w:p w:rsidR="00E047EF" w:rsidRDefault="00E047EF" w:rsidP="007E4525">
            <w:pPr>
              <w:jc w:val="center"/>
              <w:rPr>
                <w:rFonts w:ascii="Arial" w:hAnsi="Arial" w:cs="Arial"/>
                <w:b/>
                <w:bCs/>
                <w:color w:val="000000"/>
                <w:sz w:val="20"/>
                <w:szCs w:val="20"/>
              </w:rPr>
            </w:pPr>
            <w:r>
              <w:rPr>
                <w:rFonts w:ascii="Arial" w:hAnsi="Arial" w:cs="Arial"/>
                <w:b/>
                <w:bCs/>
                <w:color w:val="000000"/>
                <w:sz w:val="20"/>
                <w:szCs w:val="20"/>
              </w:rPr>
              <w:t>Type of Reporting delays</w:t>
            </w:r>
          </w:p>
        </w:tc>
        <w:tc>
          <w:tcPr>
            <w:tcW w:w="1084" w:type="pct"/>
            <w:tcMar>
              <w:top w:w="0" w:type="dxa"/>
              <w:left w:w="45" w:type="dxa"/>
              <w:bottom w:w="0" w:type="dxa"/>
              <w:right w:w="45" w:type="dxa"/>
            </w:tcMar>
            <w:vAlign w:val="center"/>
            <w:hideMark/>
          </w:tcPr>
          <w:p w:rsidR="00E047EF" w:rsidRDefault="00E047EF" w:rsidP="007E4525">
            <w:pPr>
              <w:jc w:val="center"/>
              <w:rPr>
                <w:rFonts w:ascii="Arial" w:hAnsi="Arial" w:cs="Arial"/>
                <w:b/>
                <w:bCs/>
                <w:color w:val="000000"/>
                <w:sz w:val="20"/>
                <w:szCs w:val="20"/>
              </w:rPr>
            </w:pPr>
            <w:r>
              <w:rPr>
                <w:rFonts w:ascii="Arial" w:hAnsi="Arial" w:cs="Arial"/>
                <w:b/>
                <w:bCs/>
                <w:color w:val="000000"/>
                <w:sz w:val="20"/>
                <w:szCs w:val="20"/>
              </w:rPr>
              <w:t>LSF Amount (INR)</w:t>
            </w:r>
          </w:p>
        </w:tc>
      </w:tr>
      <w:tr w:rsidR="00E047EF" w:rsidTr="00E047EF">
        <w:tc>
          <w:tcPr>
            <w:tcW w:w="498" w:type="pct"/>
            <w:tcMar>
              <w:top w:w="0" w:type="dxa"/>
              <w:left w:w="45" w:type="dxa"/>
              <w:bottom w:w="0" w:type="dxa"/>
              <w:right w:w="45" w:type="dxa"/>
            </w:tcMar>
            <w:vAlign w:val="center"/>
            <w:hideMark/>
          </w:tcPr>
          <w:p w:rsidR="00E047EF" w:rsidRDefault="00E047EF" w:rsidP="007E4525">
            <w:pPr>
              <w:jc w:val="center"/>
              <w:rPr>
                <w:rFonts w:ascii="Arial" w:hAnsi="Arial" w:cs="Arial"/>
                <w:color w:val="000000"/>
                <w:sz w:val="20"/>
                <w:szCs w:val="20"/>
              </w:rPr>
            </w:pPr>
            <w:r>
              <w:rPr>
                <w:rFonts w:ascii="Arial" w:hAnsi="Arial" w:cs="Arial"/>
                <w:color w:val="000000"/>
                <w:sz w:val="20"/>
                <w:szCs w:val="20"/>
              </w:rPr>
              <w:t>1</w:t>
            </w:r>
          </w:p>
        </w:tc>
        <w:tc>
          <w:tcPr>
            <w:tcW w:w="3419" w:type="pct"/>
            <w:tcMar>
              <w:top w:w="0" w:type="dxa"/>
              <w:left w:w="45" w:type="dxa"/>
              <w:bottom w:w="0" w:type="dxa"/>
              <w:right w:w="45" w:type="dxa"/>
            </w:tcMar>
            <w:vAlign w:val="center"/>
            <w:hideMark/>
          </w:tcPr>
          <w:p w:rsidR="00E047EF" w:rsidRDefault="00E047EF" w:rsidP="007E4525">
            <w:pPr>
              <w:jc w:val="both"/>
              <w:rPr>
                <w:rFonts w:ascii="Arial" w:hAnsi="Arial" w:cs="Arial"/>
                <w:color w:val="000000"/>
                <w:sz w:val="20"/>
                <w:szCs w:val="20"/>
              </w:rPr>
            </w:pPr>
            <w:r>
              <w:rPr>
                <w:rFonts w:ascii="Arial" w:hAnsi="Arial" w:cs="Arial"/>
                <w:color w:val="000000"/>
                <w:sz w:val="20"/>
                <w:szCs w:val="20"/>
              </w:rPr>
              <w:t>Form ODI Part-II/ APR, FCGPR (B), FLA Returns, Form OPI, evidence of investment or any other return which does not capture flows or any other periodical reporting</w:t>
            </w:r>
          </w:p>
        </w:tc>
        <w:tc>
          <w:tcPr>
            <w:tcW w:w="1084" w:type="pct"/>
            <w:tcMar>
              <w:top w:w="0" w:type="dxa"/>
              <w:left w:w="45" w:type="dxa"/>
              <w:bottom w:w="0" w:type="dxa"/>
              <w:right w:w="45" w:type="dxa"/>
            </w:tcMar>
            <w:vAlign w:val="center"/>
            <w:hideMark/>
          </w:tcPr>
          <w:p w:rsidR="00E047EF" w:rsidRDefault="00E047EF" w:rsidP="007E4525">
            <w:pPr>
              <w:jc w:val="center"/>
              <w:rPr>
                <w:rFonts w:ascii="Arial" w:hAnsi="Arial" w:cs="Arial"/>
                <w:color w:val="000000"/>
                <w:sz w:val="20"/>
                <w:szCs w:val="20"/>
              </w:rPr>
            </w:pPr>
            <w:r>
              <w:rPr>
                <w:rFonts w:ascii="Arial" w:hAnsi="Arial" w:cs="Arial"/>
                <w:color w:val="000000"/>
                <w:sz w:val="20"/>
                <w:szCs w:val="20"/>
              </w:rPr>
              <w:t>7500</w:t>
            </w:r>
          </w:p>
        </w:tc>
      </w:tr>
      <w:tr w:rsidR="00E047EF" w:rsidTr="00E047EF">
        <w:tc>
          <w:tcPr>
            <w:tcW w:w="498" w:type="pct"/>
            <w:tcMar>
              <w:top w:w="0" w:type="dxa"/>
              <w:left w:w="45" w:type="dxa"/>
              <w:bottom w:w="0" w:type="dxa"/>
              <w:right w:w="45" w:type="dxa"/>
            </w:tcMar>
            <w:vAlign w:val="center"/>
            <w:hideMark/>
          </w:tcPr>
          <w:p w:rsidR="00E047EF" w:rsidRDefault="00E047EF" w:rsidP="007E4525">
            <w:pPr>
              <w:jc w:val="center"/>
              <w:rPr>
                <w:rFonts w:ascii="Arial" w:hAnsi="Arial" w:cs="Arial"/>
                <w:color w:val="000000"/>
                <w:sz w:val="20"/>
                <w:szCs w:val="20"/>
              </w:rPr>
            </w:pPr>
            <w:r>
              <w:rPr>
                <w:rFonts w:ascii="Arial" w:hAnsi="Arial" w:cs="Arial"/>
                <w:color w:val="000000"/>
                <w:sz w:val="20"/>
                <w:szCs w:val="20"/>
              </w:rPr>
              <w:t>2</w:t>
            </w:r>
          </w:p>
        </w:tc>
        <w:tc>
          <w:tcPr>
            <w:tcW w:w="3419" w:type="pct"/>
            <w:tcMar>
              <w:top w:w="0" w:type="dxa"/>
              <w:left w:w="45" w:type="dxa"/>
              <w:bottom w:w="0" w:type="dxa"/>
              <w:right w:w="45" w:type="dxa"/>
            </w:tcMar>
            <w:vAlign w:val="center"/>
            <w:hideMark/>
          </w:tcPr>
          <w:p w:rsidR="00E047EF" w:rsidRDefault="00E047EF" w:rsidP="007E4525">
            <w:pPr>
              <w:jc w:val="both"/>
              <w:rPr>
                <w:rFonts w:ascii="Arial" w:hAnsi="Arial" w:cs="Arial"/>
                <w:color w:val="000000"/>
                <w:sz w:val="20"/>
                <w:szCs w:val="20"/>
              </w:rPr>
            </w:pPr>
            <w:r>
              <w:rPr>
                <w:rFonts w:ascii="Arial" w:hAnsi="Arial" w:cs="Arial"/>
                <w:color w:val="000000"/>
                <w:sz w:val="20"/>
                <w:szCs w:val="20"/>
              </w:rPr>
              <w:t xml:space="preserve">FC-GPR, FCTRS, Form ESOP, Form LLP(I), Form LLP(II), Form CN, Form DI, Form </w:t>
            </w:r>
            <w:proofErr w:type="spellStart"/>
            <w:r>
              <w:rPr>
                <w:rFonts w:ascii="Arial" w:hAnsi="Arial" w:cs="Arial"/>
                <w:color w:val="000000"/>
                <w:sz w:val="20"/>
                <w:szCs w:val="20"/>
              </w:rPr>
              <w:t>InVi</w:t>
            </w:r>
            <w:proofErr w:type="spellEnd"/>
            <w:r>
              <w:rPr>
                <w:rFonts w:ascii="Arial" w:hAnsi="Arial" w:cs="Arial"/>
                <w:color w:val="000000"/>
                <w:sz w:val="20"/>
                <w:szCs w:val="20"/>
              </w:rPr>
              <w:t>, Form ODI-Part I, Form ODI-Part III, Form FC, Form ECB, Form ECB-2, Revised Form ECB or any other return which captures flows or returns which capture reporting of non-fund transactions or any other transactional reporting</w:t>
            </w:r>
          </w:p>
        </w:tc>
        <w:tc>
          <w:tcPr>
            <w:tcW w:w="1084" w:type="pct"/>
            <w:tcMar>
              <w:top w:w="0" w:type="dxa"/>
              <w:left w:w="45" w:type="dxa"/>
              <w:bottom w:w="0" w:type="dxa"/>
              <w:right w:w="45" w:type="dxa"/>
            </w:tcMar>
            <w:vAlign w:val="center"/>
            <w:hideMark/>
          </w:tcPr>
          <w:p w:rsidR="00E047EF" w:rsidRDefault="00E047EF" w:rsidP="007E4525">
            <w:pPr>
              <w:jc w:val="center"/>
              <w:rPr>
                <w:rFonts w:ascii="Arial" w:hAnsi="Arial" w:cs="Arial"/>
                <w:color w:val="000000"/>
                <w:sz w:val="20"/>
                <w:szCs w:val="20"/>
              </w:rPr>
            </w:pPr>
            <w:r>
              <w:rPr>
                <w:rFonts w:ascii="Arial" w:hAnsi="Arial" w:cs="Arial"/>
                <w:color w:val="000000"/>
                <w:sz w:val="20"/>
                <w:szCs w:val="20"/>
              </w:rPr>
              <w:t>[7500 + (0.025% × A × n)]</w:t>
            </w:r>
          </w:p>
        </w:tc>
      </w:tr>
    </w:tbl>
    <w:p w:rsidR="00E047EF" w:rsidRDefault="00E047EF" w:rsidP="00E047EF">
      <w:pPr>
        <w:pStyle w:val="NormalWeb"/>
        <w:jc w:val="both"/>
        <w:rPr>
          <w:rFonts w:ascii="Arial" w:hAnsi="Arial" w:cs="Arial"/>
          <w:color w:val="000000"/>
          <w:sz w:val="20"/>
          <w:szCs w:val="20"/>
        </w:rPr>
      </w:pPr>
      <w:r>
        <w:rPr>
          <w:rFonts w:ascii="Arial" w:hAnsi="Arial" w:cs="Arial"/>
          <w:color w:val="000000"/>
          <w:sz w:val="20"/>
          <w:szCs w:val="20"/>
        </w:rPr>
        <w:t>2. The above provisions shall come into effect immediately for the delayed filings made on or after the date of this circular.</w:t>
      </w:r>
    </w:p>
    <w:p w:rsidR="00E047EF" w:rsidRDefault="00E047EF" w:rsidP="00E047EF">
      <w:pPr>
        <w:pStyle w:val="NormalWeb"/>
        <w:jc w:val="both"/>
        <w:rPr>
          <w:rFonts w:ascii="Arial" w:hAnsi="Arial" w:cs="Arial"/>
          <w:color w:val="000000"/>
          <w:sz w:val="20"/>
          <w:szCs w:val="20"/>
        </w:rPr>
      </w:pPr>
      <w:r>
        <w:rPr>
          <w:rFonts w:ascii="Arial" w:hAnsi="Arial" w:cs="Arial"/>
          <w:color w:val="000000"/>
          <w:sz w:val="20"/>
          <w:szCs w:val="20"/>
        </w:rPr>
        <w:t xml:space="preserve">3. All other provisions of reporting under FEMA remain unchanged. AD Category - I </w:t>
      </w:r>
      <w:proofErr w:type="gramStart"/>
      <w:r>
        <w:rPr>
          <w:rFonts w:ascii="Arial" w:hAnsi="Arial" w:cs="Arial"/>
          <w:color w:val="000000"/>
          <w:sz w:val="20"/>
          <w:szCs w:val="20"/>
        </w:rPr>
        <w:t>banks</w:t>
      </w:r>
      <w:proofErr w:type="gramEnd"/>
      <w:r>
        <w:rPr>
          <w:rFonts w:ascii="Arial" w:hAnsi="Arial" w:cs="Arial"/>
          <w:color w:val="000000"/>
          <w:sz w:val="20"/>
          <w:szCs w:val="20"/>
        </w:rPr>
        <w:t xml:space="preserve"> should bring the contents of this circular to the notice of their constituents and customers.</w:t>
      </w:r>
    </w:p>
    <w:p w:rsidR="00E047EF" w:rsidRDefault="00E047EF" w:rsidP="00E047EF">
      <w:pPr>
        <w:pStyle w:val="NormalWeb"/>
        <w:jc w:val="both"/>
        <w:rPr>
          <w:rFonts w:ascii="Arial" w:hAnsi="Arial" w:cs="Arial"/>
          <w:color w:val="000000"/>
          <w:sz w:val="20"/>
          <w:szCs w:val="20"/>
        </w:rPr>
      </w:pPr>
      <w:r>
        <w:rPr>
          <w:rFonts w:ascii="Arial" w:hAnsi="Arial" w:cs="Arial"/>
          <w:color w:val="000000"/>
          <w:sz w:val="20"/>
          <w:szCs w:val="20"/>
        </w:rPr>
        <w:t>4. The ‘</w:t>
      </w:r>
      <w:hyperlink r:id="rId33" w:tgtFrame="_blank" w:history="1">
        <w:r>
          <w:rPr>
            <w:rStyle w:val="Hyperlink"/>
            <w:rFonts w:ascii="Arial" w:hAnsi="Arial" w:cs="Arial"/>
            <w:sz w:val="20"/>
            <w:szCs w:val="20"/>
          </w:rPr>
          <w:t>Master Direction – Reporting under Foreign Exchange Management Act, 1999</w:t>
        </w:r>
      </w:hyperlink>
      <w:r>
        <w:rPr>
          <w:rFonts w:ascii="Arial" w:hAnsi="Arial" w:cs="Arial"/>
          <w:color w:val="000000"/>
          <w:sz w:val="20"/>
          <w:szCs w:val="20"/>
        </w:rPr>
        <w:t>’ and ‘</w:t>
      </w:r>
      <w:hyperlink r:id="rId34" w:tgtFrame="_blank" w:history="1">
        <w:r>
          <w:rPr>
            <w:rStyle w:val="Hyperlink"/>
            <w:rFonts w:ascii="Arial" w:hAnsi="Arial" w:cs="Arial"/>
            <w:sz w:val="20"/>
            <w:szCs w:val="20"/>
          </w:rPr>
          <w:t>Master Direction - External Commercial Borrowings, Trade Credits and Structured Obligations</w:t>
        </w:r>
      </w:hyperlink>
      <w:r>
        <w:rPr>
          <w:rFonts w:ascii="Arial" w:hAnsi="Arial" w:cs="Arial"/>
          <w:color w:val="000000"/>
          <w:sz w:val="20"/>
          <w:szCs w:val="20"/>
        </w:rPr>
        <w:t>’ are being updated to reflect the changes.</w:t>
      </w:r>
    </w:p>
    <w:p w:rsidR="00E047EF" w:rsidRDefault="00E047EF" w:rsidP="00E047EF">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Yours faithfully</w:t>
      </w:r>
    </w:p>
    <w:p w:rsidR="00E047EF" w:rsidRDefault="00E047EF" w:rsidP="00E047EF">
      <w:pPr>
        <w:pStyle w:val="NormalWeb"/>
        <w:spacing w:before="0" w:beforeAutospacing="0"/>
        <w:rPr>
          <w:rFonts w:ascii="Arial" w:hAnsi="Arial" w:cs="Arial"/>
          <w:color w:val="000000"/>
          <w:sz w:val="20"/>
          <w:szCs w:val="20"/>
        </w:rPr>
      </w:pPr>
      <w:r>
        <w:rPr>
          <w:rFonts w:ascii="Arial" w:hAnsi="Arial" w:cs="Arial"/>
          <w:color w:val="000000"/>
          <w:sz w:val="20"/>
          <w:szCs w:val="20"/>
        </w:rPr>
        <w:t xml:space="preserve">Ajay Kumar </w:t>
      </w:r>
      <w:proofErr w:type="spellStart"/>
      <w:r>
        <w:rPr>
          <w:rFonts w:ascii="Arial" w:hAnsi="Arial" w:cs="Arial"/>
          <w:color w:val="000000"/>
          <w:sz w:val="20"/>
          <w:szCs w:val="20"/>
        </w:rPr>
        <w:t>Misra</w:t>
      </w:r>
      <w:proofErr w:type="spellEnd"/>
      <w:r>
        <w:rPr>
          <w:rFonts w:ascii="Arial" w:hAnsi="Arial" w:cs="Arial"/>
          <w:color w:val="000000"/>
          <w:sz w:val="20"/>
          <w:szCs w:val="20"/>
        </w:rPr>
        <w:br/>
        <w:t>Chief General Manager-in-Charge</w:t>
      </w:r>
    </w:p>
    <w:p w:rsidR="00E047EF" w:rsidRDefault="00E047EF" w:rsidP="00E047EF">
      <w:pPr>
        <w:spacing w:after="0"/>
        <w:rPr>
          <w:rFonts w:ascii="Arial" w:hAnsi="Arial" w:cs="Arial"/>
          <w:b/>
          <w:bCs/>
          <w:color w:val="000000"/>
          <w:sz w:val="20"/>
          <w:szCs w:val="20"/>
        </w:rPr>
      </w:pPr>
    </w:p>
    <w:p w:rsidR="00E047EF" w:rsidRDefault="00E047EF" w:rsidP="00E047EF">
      <w:pPr>
        <w:spacing w:after="0"/>
        <w:rPr>
          <w:rFonts w:ascii="Arial" w:hAnsi="Arial" w:cs="Arial"/>
          <w:b/>
          <w:bCs/>
          <w:color w:val="000000"/>
          <w:sz w:val="20"/>
          <w:szCs w:val="20"/>
        </w:rPr>
      </w:pPr>
    </w:p>
    <w:p w:rsidR="00E047EF" w:rsidRPr="00435B25" w:rsidRDefault="00E047EF" w:rsidP="00E047EF">
      <w:pPr>
        <w:spacing w:after="0"/>
        <w:rPr>
          <w:rFonts w:ascii="Arial" w:hAnsi="Arial" w:cs="Arial"/>
          <w:sz w:val="20"/>
          <w:szCs w:val="20"/>
        </w:rPr>
      </w:pPr>
      <w:r w:rsidRPr="00435B25">
        <w:rPr>
          <w:rFonts w:ascii="Arial" w:hAnsi="Arial" w:cs="Arial"/>
          <w:sz w:val="20"/>
          <w:szCs w:val="20"/>
        </w:rPr>
        <w:t>More details can be referred to in the below link.</w:t>
      </w:r>
    </w:p>
    <w:p w:rsidR="00E047EF" w:rsidRDefault="00E047EF" w:rsidP="00E047EF">
      <w:pPr>
        <w:spacing w:after="0"/>
        <w:rPr>
          <w:rFonts w:ascii="Arial" w:hAnsi="Arial" w:cs="Arial"/>
          <w:sz w:val="20"/>
          <w:szCs w:val="20"/>
        </w:rPr>
      </w:pPr>
      <w:r w:rsidRPr="00435B25">
        <w:rPr>
          <w:rFonts w:ascii="Arial" w:hAnsi="Arial" w:cs="Arial"/>
          <w:sz w:val="20"/>
          <w:szCs w:val="20"/>
        </w:rPr>
        <w:t>Reference Link:</w:t>
      </w:r>
      <w:r>
        <w:rPr>
          <w:rFonts w:ascii="Arial" w:hAnsi="Arial" w:cs="Arial"/>
          <w:sz w:val="20"/>
          <w:szCs w:val="20"/>
        </w:rPr>
        <w:t xml:space="preserve"> </w:t>
      </w:r>
      <w:hyperlink r:id="rId35" w:history="1">
        <w:r w:rsidRPr="009517FA">
          <w:rPr>
            <w:rStyle w:val="Hyperlink"/>
            <w:rFonts w:ascii="Arial" w:hAnsi="Arial" w:cs="Arial"/>
            <w:sz w:val="20"/>
            <w:szCs w:val="20"/>
          </w:rPr>
          <w:t>https://www.rbi.org.in/scripts/NotificationUser.aspx?Id=12393&amp;Mode=0</w:t>
        </w:r>
      </w:hyperlink>
    </w:p>
    <w:p w:rsidR="00B517AF" w:rsidRDefault="00B517AF" w:rsidP="00230EAC">
      <w:pPr>
        <w:spacing w:line="259" w:lineRule="auto"/>
        <w:rPr>
          <w:rFonts w:ascii="Arial" w:hAnsi="Arial" w:cs="Arial"/>
          <w:b/>
          <w:bCs/>
          <w:color w:val="000000"/>
          <w:sz w:val="20"/>
          <w:szCs w:val="20"/>
        </w:rPr>
      </w:pPr>
    </w:p>
    <w:p w:rsidR="00BD01D5" w:rsidRDefault="00BD01D5" w:rsidP="00230EAC">
      <w:pPr>
        <w:spacing w:line="259" w:lineRule="auto"/>
        <w:rPr>
          <w:rFonts w:ascii="Arial" w:hAnsi="Arial" w:cs="Arial"/>
          <w:b/>
          <w:bCs/>
          <w:color w:val="000000"/>
          <w:sz w:val="20"/>
          <w:szCs w:val="20"/>
        </w:rPr>
      </w:pPr>
    </w:p>
    <w:p w:rsidR="00C109D0" w:rsidRDefault="00C109D0" w:rsidP="00230EAC">
      <w:pPr>
        <w:spacing w:line="259" w:lineRule="auto"/>
        <w:rPr>
          <w:rFonts w:ascii="Arial" w:hAnsi="Arial" w:cs="Arial"/>
          <w:b/>
          <w:bCs/>
          <w:color w:val="000000"/>
          <w:sz w:val="20"/>
          <w:szCs w:val="20"/>
        </w:rPr>
      </w:pPr>
      <w:r>
        <w:rPr>
          <w:rFonts w:ascii="Arial" w:hAnsi="Arial" w:cs="Arial"/>
          <w:b/>
          <w:bCs/>
          <w:color w:val="000000"/>
          <w:sz w:val="20"/>
          <w:szCs w:val="20"/>
        </w:rPr>
        <w:t>Appointment of Internal Ombudsman by the Credit Information Companies</w:t>
      </w:r>
    </w:p>
    <w:p w:rsidR="00C109D0" w:rsidRDefault="00C109D0" w:rsidP="00C109D0">
      <w:pPr>
        <w:pStyle w:val="NormalWeb"/>
        <w:jc w:val="both"/>
        <w:rPr>
          <w:rFonts w:ascii="Arial" w:hAnsi="Arial" w:cs="Arial"/>
          <w:color w:val="000000"/>
          <w:sz w:val="20"/>
          <w:szCs w:val="20"/>
        </w:rPr>
      </w:pPr>
      <w:r>
        <w:rPr>
          <w:rFonts w:ascii="Arial" w:hAnsi="Arial" w:cs="Arial"/>
          <w:color w:val="000000"/>
          <w:sz w:val="20"/>
          <w:szCs w:val="20"/>
        </w:rPr>
        <w:t>RBI/2022-23/124</w:t>
      </w:r>
      <w:r>
        <w:rPr>
          <w:rFonts w:ascii="Arial" w:hAnsi="Arial" w:cs="Arial"/>
          <w:color w:val="000000"/>
          <w:sz w:val="20"/>
          <w:szCs w:val="20"/>
        </w:rPr>
        <w:br/>
        <w:t>CEPD.PRD.No.S806/13-01-008/2022-23</w:t>
      </w:r>
    </w:p>
    <w:p w:rsidR="00C109D0" w:rsidRDefault="00C109D0" w:rsidP="00C109D0">
      <w:pPr>
        <w:pStyle w:val="NormalWeb"/>
        <w:jc w:val="right"/>
        <w:rPr>
          <w:rFonts w:ascii="Arial" w:hAnsi="Arial" w:cs="Arial"/>
          <w:color w:val="000000"/>
          <w:sz w:val="20"/>
          <w:szCs w:val="20"/>
        </w:rPr>
      </w:pPr>
      <w:r>
        <w:rPr>
          <w:rFonts w:ascii="Arial" w:hAnsi="Arial" w:cs="Arial"/>
          <w:color w:val="000000"/>
          <w:sz w:val="20"/>
          <w:szCs w:val="20"/>
        </w:rPr>
        <w:t>October 6, 2022</w:t>
      </w:r>
    </w:p>
    <w:p w:rsidR="00C109D0" w:rsidRDefault="00C109D0" w:rsidP="00C109D0">
      <w:pPr>
        <w:pStyle w:val="NormalWeb"/>
        <w:jc w:val="both"/>
        <w:rPr>
          <w:rFonts w:ascii="Arial" w:hAnsi="Arial" w:cs="Arial"/>
          <w:color w:val="000000"/>
          <w:sz w:val="20"/>
          <w:szCs w:val="20"/>
        </w:rPr>
      </w:pPr>
      <w:r>
        <w:rPr>
          <w:rFonts w:ascii="Arial" w:hAnsi="Arial" w:cs="Arial"/>
          <w:color w:val="000000"/>
          <w:sz w:val="20"/>
          <w:szCs w:val="20"/>
        </w:rPr>
        <w:lastRenderedPageBreak/>
        <w:t>All Credit Information Companies</w:t>
      </w:r>
    </w:p>
    <w:p w:rsidR="00C109D0" w:rsidRDefault="00C109D0" w:rsidP="00C109D0">
      <w:pPr>
        <w:pStyle w:val="NormalWeb"/>
        <w:jc w:val="both"/>
        <w:rPr>
          <w:rFonts w:ascii="Arial" w:hAnsi="Arial" w:cs="Arial"/>
          <w:color w:val="000000"/>
          <w:sz w:val="20"/>
          <w:szCs w:val="20"/>
        </w:rPr>
      </w:pPr>
      <w:r>
        <w:rPr>
          <w:rFonts w:ascii="Arial" w:hAnsi="Arial" w:cs="Arial"/>
          <w:color w:val="000000"/>
          <w:sz w:val="20"/>
          <w:szCs w:val="20"/>
        </w:rPr>
        <w:t>Madam/ Sir,</w:t>
      </w:r>
    </w:p>
    <w:p w:rsidR="00C109D0" w:rsidRDefault="00C109D0" w:rsidP="00C109D0">
      <w:pPr>
        <w:pStyle w:val="head"/>
        <w:jc w:val="both"/>
        <w:rPr>
          <w:rFonts w:ascii="Arial" w:hAnsi="Arial" w:cs="Arial"/>
          <w:b/>
          <w:bCs/>
          <w:color w:val="000000"/>
          <w:sz w:val="20"/>
          <w:szCs w:val="20"/>
        </w:rPr>
      </w:pPr>
      <w:r>
        <w:rPr>
          <w:rFonts w:ascii="Arial" w:hAnsi="Arial" w:cs="Arial"/>
          <w:b/>
          <w:bCs/>
          <w:color w:val="000000"/>
          <w:sz w:val="20"/>
          <w:szCs w:val="20"/>
        </w:rPr>
        <w:t>Appointment of Internal Ombudsman by the Credit Information Companies</w:t>
      </w:r>
    </w:p>
    <w:p w:rsidR="00C109D0" w:rsidRDefault="00C109D0" w:rsidP="00C109D0">
      <w:pPr>
        <w:pStyle w:val="NormalWeb"/>
        <w:jc w:val="both"/>
        <w:rPr>
          <w:rFonts w:ascii="Arial" w:hAnsi="Arial" w:cs="Arial"/>
          <w:color w:val="000000"/>
          <w:sz w:val="20"/>
          <w:szCs w:val="20"/>
        </w:rPr>
      </w:pPr>
      <w:r>
        <w:rPr>
          <w:rFonts w:ascii="Arial" w:hAnsi="Arial" w:cs="Arial"/>
          <w:color w:val="000000"/>
          <w:sz w:val="20"/>
          <w:szCs w:val="20"/>
        </w:rPr>
        <w:t>Please refer to paragraph 2 of the </w:t>
      </w:r>
      <w:hyperlink r:id="rId36" w:tgtFrame="_blank" w:history="1">
        <w:r>
          <w:rPr>
            <w:rStyle w:val="Hyperlink"/>
            <w:rFonts w:ascii="Arial" w:hAnsi="Arial" w:cs="Arial"/>
            <w:sz w:val="20"/>
            <w:szCs w:val="20"/>
          </w:rPr>
          <w:t>Statement on Developmental and Regulatory Policies dated August 5, 2022</w:t>
        </w:r>
      </w:hyperlink>
      <w:r>
        <w:rPr>
          <w:rFonts w:ascii="Arial" w:hAnsi="Arial" w:cs="Arial"/>
          <w:color w:val="000000"/>
          <w:sz w:val="20"/>
          <w:szCs w:val="20"/>
        </w:rPr>
        <w:t xml:space="preserve">, wherein the decision to bring Credit Information Companies (CICs) under the Internal Ombudsman (IO) Framework was announced with a view to strengthen and improve the efficiency of the internal grievance </w:t>
      </w:r>
      <w:proofErr w:type="spellStart"/>
      <w:r>
        <w:rPr>
          <w:rFonts w:ascii="Arial" w:hAnsi="Arial" w:cs="Arial"/>
          <w:color w:val="000000"/>
          <w:sz w:val="20"/>
          <w:szCs w:val="20"/>
        </w:rPr>
        <w:t>redressal</w:t>
      </w:r>
      <w:proofErr w:type="spellEnd"/>
      <w:r>
        <w:rPr>
          <w:rFonts w:ascii="Arial" w:hAnsi="Arial" w:cs="Arial"/>
          <w:color w:val="000000"/>
          <w:sz w:val="20"/>
          <w:szCs w:val="20"/>
        </w:rPr>
        <w:t xml:space="preserve"> mechanisms of CICs.</w:t>
      </w:r>
    </w:p>
    <w:p w:rsidR="00C109D0" w:rsidRDefault="00C109D0" w:rsidP="00C109D0">
      <w:pPr>
        <w:pStyle w:val="NormalWeb"/>
        <w:jc w:val="both"/>
        <w:rPr>
          <w:rFonts w:ascii="Arial" w:hAnsi="Arial" w:cs="Arial"/>
          <w:color w:val="000000"/>
          <w:sz w:val="20"/>
          <w:szCs w:val="20"/>
        </w:rPr>
      </w:pPr>
      <w:r>
        <w:rPr>
          <w:rFonts w:ascii="Arial" w:hAnsi="Arial" w:cs="Arial"/>
          <w:color w:val="000000"/>
          <w:sz w:val="20"/>
          <w:szCs w:val="20"/>
        </w:rPr>
        <w:t>2. Accordingly, in exercise of the powers conferred by sub section (1) of Section 11 of the Credit Information Companies (Regulation) Act, 2005 (the Act), the Reserve Bank of India, being satisfied that it is in public interest to do so, directs all Credit Information Companies holding a Certificate of Registration under sub-section (2) of Section 5 of the Act, to comply with the Reserve Bank of India (Credit Information Companies- Internal Ombudsman) Directions, 2022 </w:t>
      </w:r>
      <w:hyperlink r:id="rId37" w:anchor="AN" w:history="1">
        <w:r>
          <w:rPr>
            <w:rStyle w:val="Hyperlink"/>
            <w:rFonts w:ascii="Arial" w:hAnsi="Arial" w:cs="Arial"/>
            <w:sz w:val="20"/>
            <w:szCs w:val="20"/>
          </w:rPr>
          <w:t>annexed</w:t>
        </w:r>
      </w:hyperlink>
      <w:r>
        <w:rPr>
          <w:rFonts w:ascii="Arial" w:hAnsi="Arial" w:cs="Arial"/>
          <w:color w:val="000000"/>
          <w:sz w:val="20"/>
          <w:szCs w:val="20"/>
        </w:rPr>
        <w:t> herewith, by April 1, 2023.</w:t>
      </w:r>
    </w:p>
    <w:p w:rsidR="00C109D0" w:rsidRDefault="00C109D0" w:rsidP="00C109D0">
      <w:pPr>
        <w:pStyle w:val="NormalWeb"/>
        <w:jc w:val="both"/>
        <w:rPr>
          <w:rFonts w:ascii="Arial" w:hAnsi="Arial" w:cs="Arial"/>
          <w:color w:val="000000"/>
          <w:sz w:val="20"/>
          <w:szCs w:val="20"/>
        </w:rPr>
      </w:pPr>
      <w:r>
        <w:rPr>
          <w:rFonts w:ascii="Arial" w:hAnsi="Arial" w:cs="Arial"/>
          <w:color w:val="000000"/>
          <w:sz w:val="20"/>
          <w:szCs w:val="20"/>
        </w:rPr>
        <w:t>Yours faithfully,</w:t>
      </w:r>
    </w:p>
    <w:p w:rsidR="00C109D0" w:rsidRDefault="00C109D0" w:rsidP="00C109D0">
      <w:pPr>
        <w:pStyle w:val="NormalWeb"/>
        <w:rPr>
          <w:rFonts w:ascii="Arial" w:hAnsi="Arial" w:cs="Arial"/>
          <w:color w:val="000000"/>
          <w:sz w:val="20"/>
          <w:szCs w:val="20"/>
        </w:rPr>
      </w:pPr>
      <w:r>
        <w:rPr>
          <w:rFonts w:ascii="Arial" w:hAnsi="Arial" w:cs="Arial"/>
          <w:color w:val="000000"/>
          <w:sz w:val="20"/>
          <w:szCs w:val="20"/>
        </w:rPr>
        <w:t>(Anupam Sonal)</w:t>
      </w:r>
      <w:r>
        <w:rPr>
          <w:rFonts w:ascii="Arial" w:hAnsi="Arial" w:cs="Arial"/>
          <w:color w:val="000000"/>
          <w:sz w:val="20"/>
          <w:szCs w:val="20"/>
        </w:rPr>
        <w:br/>
        <w:t>Chief General Manager</w:t>
      </w:r>
    </w:p>
    <w:p w:rsidR="00C109D0" w:rsidRDefault="00C109D0" w:rsidP="00230EAC">
      <w:pPr>
        <w:spacing w:line="259" w:lineRule="auto"/>
        <w:rPr>
          <w:rFonts w:ascii="Arial" w:hAnsi="Arial" w:cs="Arial"/>
          <w:b/>
          <w:bCs/>
          <w:color w:val="000000"/>
          <w:sz w:val="20"/>
          <w:szCs w:val="20"/>
        </w:rPr>
      </w:pPr>
    </w:p>
    <w:p w:rsidR="00C109D0" w:rsidRDefault="00C109D0" w:rsidP="00230EAC">
      <w:pPr>
        <w:spacing w:line="259" w:lineRule="auto"/>
        <w:rPr>
          <w:rFonts w:ascii="Arial" w:hAnsi="Arial" w:cs="Arial"/>
          <w:b/>
          <w:bCs/>
          <w:color w:val="000000"/>
          <w:sz w:val="20"/>
          <w:szCs w:val="20"/>
        </w:rPr>
      </w:pPr>
    </w:p>
    <w:p w:rsidR="00C109D0" w:rsidRDefault="00C109D0" w:rsidP="00230EAC">
      <w:pPr>
        <w:spacing w:line="259" w:lineRule="auto"/>
        <w:rPr>
          <w:rFonts w:ascii="Arial" w:hAnsi="Arial" w:cs="Arial"/>
          <w:b/>
          <w:bCs/>
          <w:color w:val="000000"/>
          <w:sz w:val="20"/>
          <w:szCs w:val="20"/>
        </w:rPr>
      </w:pPr>
    </w:p>
    <w:p w:rsidR="00C109D0" w:rsidRDefault="00C109D0" w:rsidP="00230EAC">
      <w:pPr>
        <w:spacing w:line="259" w:lineRule="auto"/>
        <w:rPr>
          <w:rFonts w:ascii="Arial" w:hAnsi="Arial" w:cs="Arial"/>
          <w:b/>
          <w:bCs/>
          <w:color w:val="000000"/>
          <w:sz w:val="20"/>
          <w:szCs w:val="20"/>
        </w:rPr>
      </w:pPr>
    </w:p>
    <w:p w:rsidR="00642494" w:rsidRPr="00435B25" w:rsidRDefault="00642494" w:rsidP="00642494">
      <w:pPr>
        <w:spacing w:after="0"/>
        <w:rPr>
          <w:rFonts w:ascii="Arial" w:hAnsi="Arial" w:cs="Arial"/>
          <w:sz w:val="20"/>
          <w:szCs w:val="20"/>
        </w:rPr>
      </w:pPr>
      <w:r w:rsidRPr="00435B25">
        <w:rPr>
          <w:rFonts w:ascii="Arial" w:hAnsi="Arial" w:cs="Arial"/>
          <w:sz w:val="20"/>
          <w:szCs w:val="20"/>
        </w:rPr>
        <w:t>More details can be referred to in the below link.</w:t>
      </w:r>
    </w:p>
    <w:p w:rsidR="00C109D0" w:rsidRDefault="00642494" w:rsidP="00230EAC">
      <w:pPr>
        <w:spacing w:line="259" w:lineRule="auto"/>
        <w:rPr>
          <w:rFonts w:ascii="Arial" w:hAnsi="Arial" w:cs="Arial"/>
          <w:bCs/>
          <w:color w:val="000000"/>
          <w:sz w:val="20"/>
          <w:szCs w:val="20"/>
        </w:rPr>
      </w:pPr>
      <w:r w:rsidRPr="00435B25">
        <w:rPr>
          <w:rFonts w:ascii="Arial" w:hAnsi="Arial" w:cs="Arial"/>
          <w:sz w:val="20"/>
          <w:szCs w:val="20"/>
        </w:rPr>
        <w:t>Reference Link:</w:t>
      </w:r>
      <w:r>
        <w:rPr>
          <w:rFonts w:ascii="Arial" w:hAnsi="Arial" w:cs="Arial"/>
          <w:b/>
          <w:bCs/>
          <w:color w:val="000000"/>
          <w:sz w:val="20"/>
          <w:szCs w:val="20"/>
        </w:rPr>
        <w:t xml:space="preserve"> </w:t>
      </w:r>
      <w:hyperlink r:id="rId38" w:history="1">
        <w:r w:rsidRPr="009517FA">
          <w:rPr>
            <w:rStyle w:val="Hyperlink"/>
            <w:rFonts w:ascii="Arial" w:hAnsi="Arial" w:cs="Arial"/>
            <w:bCs/>
            <w:sz w:val="20"/>
            <w:szCs w:val="20"/>
          </w:rPr>
          <w:t>https://www.rbi.org.in/Scripts/NotificationUser.aspx?Id=12395&amp;Mode=0</w:t>
        </w:r>
      </w:hyperlink>
    </w:p>
    <w:p w:rsidR="00642494" w:rsidRDefault="00642494" w:rsidP="00230EAC">
      <w:pPr>
        <w:spacing w:line="259" w:lineRule="auto"/>
        <w:rPr>
          <w:rFonts w:ascii="Arial" w:hAnsi="Arial" w:cs="Arial"/>
          <w:b/>
          <w:bCs/>
          <w:color w:val="000000"/>
          <w:sz w:val="20"/>
          <w:szCs w:val="20"/>
        </w:rPr>
      </w:pPr>
    </w:p>
    <w:p w:rsidR="00642494" w:rsidRDefault="00642494" w:rsidP="00230EAC">
      <w:pPr>
        <w:spacing w:line="259" w:lineRule="auto"/>
        <w:rPr>
          <w:rFonts w:ascii="Arial" w:hAnsi="Arial" w:cs="Arial"/>
          <w:b/>
          <w:bCs/>
          <w:color w:val="000000"/>
          <w:sz w:val="20"/>
          <w:szCs w:val="20"/>
        </w:rPr>
      </w:pPr>
    </w:p>
    <w:p w:rsidR="00C109D0" w:rsidRDefault="00C109D0" w:rsidP="00230EAC">
      <w:pPr>
        <w:spacing w:line="259" w:lineRule="auto"/>
        <w:rPr>
          <w:rFonts w:ascii="Arial" w:hAnsi="Arial" w:cs="Arial"/>
          <w:b/>
          <w:bCs/>
          <w:color w:val="000000"/>
          <w:sz w:val="20"/>
          <w:szCs w:val="20"/>
        </w:rPr>
      </w:pPr>
    </w:p>
    <w:p w:rsidR="00C109D0" w:rsidRDefault="00C109D0" w:rsidP="00230EAC">
      <w:pPr>
        <w:spacing w:line="259" w:lineRule="auto"/>
        <w:rPr>
          <w:rFonts w:ascii="Arial" w:hAnsi="Arial" w:cs="Arial"/>
          <w:b/>
          <w:bCs/>
          <w:color w:val="000000"/>
          <w:sz w:val="20"/>
          <w:szCs w:val="20"/>
        </w:rPr>
      </w:pPr>
    </w:p>
    <w:p w:rsidR="00C109D0" w:rsidRDefault="00C109D0" w:rsidP="00230EAC">
      <w:pPr>
        <w:spacing w:line="259" w:lineRule="auto"/>
        <w:rPr>
          <w:rFonts w:ascii="Arial" w:hAnsi="Arial" w:cs="Arial"/>
          <w:b/>
          <w:bCs/>
          <w:color w:val="000000"/>
          <w:sz w:val="20"/>
          <w:szCs w:val="20"/>
        </w:rPr>
      </w:pPr>
    </w:p>
    <w:p w:rsidR="00C109D0" w:rsidRDefault="00C109D0" w:rsidP="00230EAC">
      <w:pPr>
        <w:spacing w:line="259" w:lineRule="auto"/>
        <w:rPr>
          <w:rFonts w:ascii="Arial" w:hAnsi="Arial" w:cs="Arial"/>
          <w:b/>
          <w:bCs/>
          <w:color w:val="000000"/>
          <w:sz w:val="20"/>
          <w:szCs w:val="20"/>
        </w:rPr>
      </w:pPr>
    </w:p>
    <w:p w:rsidR="00C109D0" w:rsidRDefault="00C109D0" w:rsidP="00230EAC">
      <w:pPr>
        <w:spacing w:line="259" w:lineRule="auto"/>
        <w:rPr>
          <w:rFonts w:ascii="Arial" w:hAnsi="Arial" w:cs="Arial"/>
          <w:b/>
          <w:bCs/>
          <w:color w:val="000000"/>
          <w:sz w:val="20"/>
          <w:szCs w:val="20"/>
        </w:rPr>
      </w:pPr>
    </w:p>
    <w:p w:rsidR="00C109D0" w:rsidRDefault="00C109D0" w:rsidP="00230EAC">
      <w:pPr>
        <w:spacing w:line="259" w:lineRule="auto"/>
        <w:rPr>
          <w:rFonts w:ascii="Arial" w:hAnsi="Arial" w:cs="Arial"/>
          <w:b/>
          <w:bCs/>
          <w:color w:val="000000"/>
          <w:sz w:val="20"/>
          <w:szCs w:val="20"/>
        </w:rPr>
      </w:pPr>
    </w:p>
    <w:p w:rsidR="00C109D0" w:rsidRDefault="00C109D0" w:rsidP="00230EAC">
      <w:pPr>
        <w:spacing w:line="259" w:lineRule="auto"/>
        <w:rPr>
          <w:rFonts w:ascii="Arial" w:hAnsi="Arial" w:cs="Arial"/>
          <w:b/>
          <w:bCs/>
          <w:color w:val="000000"/>
          <w:sz w:val="20"/>
          <w:szCs w:val="20"/>
        </w:rPr>
      </w:pPr>
    </w:p>
    <w:p w:rsidR="00642494" w:rsidRDefault="00642494" w:rsidP="00230EAC">
      <w:pPr>
        <w:spacing w:line="259" w:lineRule="auto"/>
        <w:rPr>
          <w:rFonts w:ascii="Arial" w:hAnsi="Arial" w:cs="Arial"/>
          <w:b/>
          <w:bCs/>
          <w:color w:val="000000"/>
          <w:sz w:val="20"/>
          <w:szCs w:val="20"/>
        </w:rPr>
      </w:pPr>
    </w:p>
    <w:p w:rsidR="00642494" w:rsidRDefault="00642494" w:rsidP="00642494">
      <w:pPr>
        <w:spacing w:line="259" w:lineRule="auto"/>
        <w:rPr>
          <w:rFonts w:ascii="Arial" w:hAnsi="Arial" w:cs="Arial"/>
          <w:b/>
          <w:bCs/>
          <w:color w:val="000000"/>
          <w:sz w:val="20"/>
          <w:szCs w:val="20"/>
        </w:rPr>
      </w:pPr>
      <w:r>
        <w:rPr>
          <w:rFonts w:ascii="Arial" w:hAnsi="Arial" w:cs="Arial"/>
          <w:b/>
          <w:bCs/>
          <w:color w:val="000000"/>
          <w:sz w:val="20"/>
          <w:szCs w:val="20"/>
        </w:rPr>
        <w:t>Review of Prudential Norms – Risk Weights for Exposures to Corporates and NBFCs</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RBI/2022-23/125</w:t>
      </w:r>
      <w:r>
        <w:rPr>
          <w:rFonts w:ascii="Arial" w:hAnsi="Arial" w:cs="Arial"/>
          <w:color w:val="000000"/>
          <w:sz w:val="20"/>
          <w:szCs w:val="20"/>
        </w:rPr>
        <w:br/>
        <w:t>DOR.STR.REC.71/21.06.201/2022-23</w:t>
      </w:r>
    </w:p>
    <w:p w:rsidR="00642494" w:rsidRDefault="00642494" w:rsidP="00642494">
      <w:pPr>
        <w:pStyle w:val="NormalWeb"/>
        <w:jc w:val="right"/>
        <w:rPr>
          <w:rFonts w:ascii="Arial" w:hAnsi="Arial" w:cs="Arial"/>
          <w:color w:val="000000"/>
          <w:sz w:val="20"/>
          <w:szCs w:val="20"/>
        </w:rPr>
      </w:pPr>
      <w:r>
        <w:rPr>
          <w:rFonts w:ascii="Arial" w:hAnsi="Arial" w:cs="Arial"/>
          <w:color w:val="000000"/>
          <w:sz w:val="20"/>
          <w:szCs w:val="20"/>
        </w:rPr>
        <w:t>October 10, 2022</w:t>
      </w:r>
    </w:p>
    <w:p w:rsidR="00642494" w:rsidRDefault="00642494" w:rsidP="00642494">
      <w:pPr>
        <w:pStyle w:val="NormalWeb"/>
        <w:rPr>
          <w:rFonts w:ascii="Arial" w:hAnsi="Arial" w:cs="Arial"/>
          <w:color w:val="000000"/>
          <w:sz w:val="20"/>
          <w:szCs w:val="20"/>
        </w:rPr>
      </w:pPr>
      <w:r>
        <w:rPr>
          <w:rFonts w:ascii="Arial" w:hAnsi="Arial" w:cs="Arial"/>
          <w:color w:val="000000"/>
          <w:sz w:val="20"/>
          <w:szCs w:val="20"/>
        </w:rPr>
        <w:lastRenderedPageBreak/>
        <w:t>All Scheduled Commercial Banks</w:t>
      </w:r>
      <w:r>
        <w:rPr>
          <w:rFonts w:ascii="Arial" w:hAnsi="Arial" w:cs="Arial"/>
          <w:color w:val="000000"/>
          <w:sz w:val="20"/>
          <w:szCs w:val="20"/>
        </w:rPr>
        <w:br/>
        <w:t>(including Small Finance Banks)</w:t>
      </w:r>
      <w:r>
        <w:rPr>
          <w:rFonts w:ascii="Arial" w:hAnsi="Arial" w:cs="Arial"/>
          <w:color w:val="000000"/>
          <w:sz w:val="20"/>
          <w:szCs w:val="20"/>
        </w:rPr>
        <w:br/>
        <w:t>(Excluding Local Area Banks, Regional Rural Banks and Payments Banks)</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Madam/Dear Sir,</w:t>
      </w:r>
    </w:p>
    <w:p w:rsidR="00642494" w:rsidRDefault="00642494" w:rsidP="00642494">
      <w:pPr>
        <w:pStyle w:val="head"/>
        <w:jc w:val="both"/>
        <w:rPr>
          <w:rFonts w:ascii="Arial" w:hAnsi="Arial" w:cs="Arial"/>
          <w:b/>
          <w:bCs/>
          <w:color w:val="000000"/>
          <w:sz w:val="20"/>
          <w:szCs w:val="20"/>
        </w:rPr>
      </w:pPr>
      <w:r>
        <w:rPr>
          <w:rFonts w:ascii="Arial" w:hAnsi="Arial" w:cs="Arial"/>
          <w:b/>
          <w:bCs/>
          <w:color w:val="000000"/>
          <w:sz w:val="20"/>
          <w:szCs w:val="20"/>
        </w:rPr>
        <w:t>Review of Prudential Norms – Risk Weights for Exposures to Corporates and NBFCs</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Please refer to paragraph 6.8.1 (i) of </w:t>
      </w:r>
      <w:hyperlink r:id="rId39" w:tgtFrame="_blank" w:history="1">
        <w:r>
          <w:rPr>
            <w:rStyle w:val="Hyperlink"/>
            <w:rFonts w:ascii="Arial" w:hAnsi="Arial" w:cs="Arial"/>
            <w:sz w:val="20"/>
            <w:szCs w:val="20"/>
          </w:rPr>
          <w:t>Master Circular on Basel III capital regulations dated April 1, 2022</w:t>
        </w:r>
      </w:hyperlink>
      <w:r>
        <w:rPr>
          <w:rFonts w:ascii="Arial" w:hAnsi="Arial" w:cs="Arial"/>
          <w:color w:val="000000"/>
          <w:sz w:val="20"/>
          <w:szCs w:val="20"/>
        </w:rPr>
        <w:t xml:space="preserve"> in terms of which banks are permitted to derive risk weights for their unrated exposures based on the ratings available for a specific rated debt subject to the conditions specified that the bank’s facility ranks </w:t>
      </w:r>
      <w:proofErr w:type="spellStart"/>
      <w:r>
        <w:rPr>
          <w:rFonts w:ascii="Arial" w:hAnsi="Arial" w:cs="Arial"/>
          <w:color w:val="000000"/>
          <w:sz w:val="20"/>
          <w:szCs w:val="20"/>
        </w:rPr>
        <w:t>pari</w:t>
      </w:r>
      <w:proofErr w:type="spellEnd"/>
      <w:r>
        <w:rPr>
          <w:rFonts w:ascii="Arial" w:hAnsi="Arial" w:cs="Arial"/>
          <w:color w:val="000000"/>
          <w:sz w:val="20"/>
          <w:szCs w:val="20"/>
        </w:rPr>
        <w:t xml:space="preserve"> </w:t>
      </w:r>
      <w:proofErr w:type="spellStart"/>
      <w:r>
        <w:rPr>
          <w:rFonts w:ascii="Arial" w:hAnsi="Arial" w:cs="Arial"/>
          <w:color w:val="000000"/>
          <w:sz w:val="20"/>
          <w:szCs w:val="20"/>
        </w:rPr>
        <w:t>passu</w:t>
      </w:r>
      <w:proofErr w:type="spellEnd"/>
      <w:r>
        <w:rPr>
          <w:rFonts w:ascii="Arial" w:hAnsi="Arial" w:cs="Arial"/>
          <w:color w:val="000000"/>
          <w:sz w:val="20"/>
          <w:szCs w:val="20"/>
        </w:rPr>
        <w:t xml:space="preserve"> or senior to the specific rated debt in all respects and the maturity of the unassessed claim is not later than the maturity of the rated claim. Banks may also refer to paragraph 6.2.5 of the Master Circular ibid regarding publication of bank loan ratings by External Credit Assessment Institutions (ECAIs).</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 xml:space="preserve">2. It is observed that the Press Releases (PRs) issued by ECAIs on rating actions are often devoid of the lenders’ details. Absence of such information may result in banks applying the derived risk weights for unrated exposures, without satisfying themselves regarding adherence to prescribed conditions. This may, consequentially, lead to potentially lower provision of capital as well as </w:t>
      </w:r>
      <w:proofErr w:type="spellStart"/>
      <w:r>
        <w:rPr>
          <w:rFonts w:ascii="Arial" w:hAnsi="Arial" w:cs="Arial"/>
          <w:color w:val="000000"/>
          <w:sz w:val="20"/>
          <w:szCs w:val="20"/>
        </w:rPr>
        <w:t>underpricing</w:t>
      </w:r>
      <w:proofErr w:type="spellEnd"/>
      <w:r>
        <w:rPr>
          <w:rFonts w:ascii="Arial" w:hAnsi="Arial" w:cs="Arial"/>
          <w:color w:val="000000"/>
          <w:sz w:val="20"/>
          <w:szCs w:val="20"/>
        </w:rPr>
        <w:t xml:space="preserve"> of risks. In order to address the above information asymmetry, the Reserve Bank had advised the ECAIs vide letter dated June 4, 2021 to disclose the name of the banks and the corresponding credit facilities rated by them in the PRs issued on rating actions by August 31, 2021, after obtaining requisite consent from the borrowers.</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3. However, on a review it has been observed that the above disclosures are not available in a large number of PRs issued by ECAIs owing to the absence of requisite consent by the borrowers to the ECAIs. It is, therefore, advised that a bank loan rating without the above disclosure by the ECAI shall not be eligible for being reckoned for capital computation by banks. Banks shall treat such exposures as unrated and assign applicable risk weights in terms of paragraph 5.8.1 of the Master Circular ibid read with amendments carried out from time to time.</w:t>
      </w:r>
    </w:p>
    <w:p w:rsidR="00642494" w:rsidRDefault="00642494" w:rsidP="00642494">
      <w:pPr>
        <w:pStyle w:val="NormalWeb"/>
        <w:spacing w:after="0" w:afterAutospacing="0"/>
        <w:jc w:val="both"/>
        <w:rPr>
          <w:rFonts w:ascii="Arial" w:hAnsi="Arial" w:cs="Arial"/>
          <w:color w:val="000000"/>
          <w:sz w:val="20"/>
          <w:szCs w:val="20"/>
        </w:rPr>
      </w:pPr>
      <w:r>
        <w:rPr>
          <w:rFonts w:ascii="Arial" w:hAnsi="Arial" w:cs="Arial"/>
          <w:color w:val="000000"/>
          <w:sz w:val="20"/>
          <w:szCs w:val="20"/>
        </w:rPr>
        <w:t>Yours faithfully,</w:t>
      </w:r>
    </w:p>
    <w:p w:rsidR="00642494" w:rsidRDefault="00642494" w:rsidP="00642494">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Manoranjan</w:t>
      </w:r>
      <w:proofErr w:type="spellEnd"/>
      <w:r>
        <w:rPr>
          <w:rFonts w:ascii="Arial" w:hAnsi="Arial" w:cs="Arial"/>
          <w:color w:val="000000"/>
          <w:sz w:val="20"/>
          <w:szCs w:val="20"/>
        </w:rPr>
        <w:t xml:space="preserve"> Mishra)</w:t>
      </w:r>
      <w:r>
        <w:rPr>
          <w:rFonts w:ascii="Arial" w:hAnsi="Arial" w:cs="Arial"/>
          <w:color w:val="000000"/>
          <w:sz w:val="20"/>
          <w:szCs w:val="20"/>
        </w:rPr>
        <w:br/>
        <w:t>Chief General Manager</w:t>
      </w:r>
    </w:p>
    <w:p w:rsidR="00642494" w:rsidRDefault="00642494" w:rsidP="00642494">
      <w:pPr>
        <w:spacing w:line="259" w:lineRule="auto"/>
        <w:rPr>
          <w:rFonts w:ascii="Arial" w:hAnsi="Arial" w:cs="Arial"/>
          <w:sz w:val="20"/>
          <w:szCs w:val="20"/>
        </w:rPr>
      </w:pPr>
    </w:p>
    <w:p w:rsidR="00642494" w:rsidRDefault="00642494" w:rsidP="00642494">
      <w:pPr>
        <w:spacing w:line="259" w:lineRule="auto"/>
        <w:rPr>
          <w:rFonts w:ascii="Arial" w:hAnsi="Arial" w:cs="Arial"/>
          <w:sz w:val="20"/>
          <w:szCs w:val="20"/>
        </w:rPr>
      </w:pPr>
    </w:p>
    <w:p w:rsidR="00642494" w:rsidRDefault="00642494" w:rsidP="00642494">
      <w:r>
        <w:t>More details can be referred to in the below link.</w:t>
      </w:r>
    </w:p>
    <w:p w:rsidR="00642494" w:rsidRDefault="00642494" w:rsidP="00642494">
      <w:pPr>
        <w:spacing w:line="259" w:lineRule="auto"/>
        <w:rPr>
          <w:rFonts w:ascii="Arial" w:hAnsi="Arial" w:cs="Arial"/>
          <w:bCs/>
          <w:color w:val="000000"/>
          <w:sz w:val="20"/>
          <w:szCs w:val="20"/>
        </w:rPr>
      </w:pPr>
      <w:r>
        <w:rPr>
          <w:rFonts w:ascii="Arial" w:hAnsi="Arial" w:cs="Arial"/>
          <w:bCs/>
          <w:color w:val="000000"/>
          <w:sz w:val="20"/>
          <w:szCs w:val="20"/>
        </w:rPr>
        <w:t xml:space="preserve">Reference Link: </w:t>
      </w:r>
      <w:hyperlink r:id="rId40" w:history="1">
        <w:r w:rsidRPr="00B27270">
          <w:rPr>
            <w:rStyle w:val="Hyperlink"/>
            <w:rFonts w:ascii="Arial" w:hAnsi="Arial" w:cs="Arial"/>
            <w:bCs/>
            <w:sz w:val="20"/>
            <w:szCs w:val="20"/>
          </w:rPr>
          <w:t>https://www.rbi.org.in/Scripts/NotificationUser.aspx?Id=12396&amp;Mode=0</w:t>
        </w:r>
      </w:hyperlink>
    </w:p>
    <w:p w:rsidR="00642494" w:rsidRDefault="00642494" w:rsidP="00230EAC">
      <w:pPr>
        <w:spacing w:line="259" w:lineRule="auto"/>
        <w:rPr>
          <w:rFonts w:ascii="Arial" w:hAnsi="Arial" w:cs="Arial"/>
          <w:b/>
          <w:bCs/>
          <w:color w:val="000000"/>
          <w:sz w:val="20"/>
          <w:szCs w:val="20"/>
        </w:rPr>
      </w:pPr>
    </w:p>
    <w:p w:rsidR="00642494" w:rsidRDefault="00642494" w:rsidP="00230EAC">
      <w:pPr>
        <w:spacing w:line="259" w:lineRule="auto"/>
        <w:rPr>
          <w:rFonts w:ascii="Arial" w:hAnsi="Arial" w:cs="Arial"/>
          <w:b/>
          <w:bCs/>
          <w:color w:val="000000"/>
          <w:sz w:val="20"/>
          <w:szCs w:val="20"/>
        </w:rPr>
      </w:pPr>
    </w:p>
    <w:p w:rsidR="00642494" w:rsidRDefault="00642494" w:rsidP="00230EAC">
      <w:pPr>
        <w:spacing w:line="259" w:lineRule="auto"/>
        <w:rPr>
          <w:rFonts w:ascii="Arial" w:hAnsi="Arial" w:cs="Arial"/>
          <w:b/>
          <w:bCs/>
          <w:color w:val="000000"/>
          <w:sz w:val="20"/>
          <w:szCs w:val="20"/>
        </w:rPr>
      </w:pPr>
    </w:p>
    <w:p w:rsidR="00642494" w:rsidRDefault="00642494" w:rsidP="00230EAC">
      <w:pPr>
        <w:spacing w:line="259" w:lineRule="auto"/>
        <w:rPr>
          <w:rFonts w:ascii="Arial" w:hAnsi="Arial" w:cs="Arial"/>
          <w:b/>
          <w:bCs/>
          <w:color w:val="000000"/>
          <w:sz w:val="20"/>
          <w:szCs w:val="20"/>
        </w:rPr>
      </w:pPr>
    </w:p>
    <w:p w:rsidR="00642494" w:rsidRDefault="00642494" w:rsidP="00642494">
      <w:pPr>
        <w:spacing w:line="259" w:lineRule="auto"/>
        <w:rPr>
          <w:rFonts w:ascii="Arial" w:hAnsi="Arial" w:cs="Arial"/>
          <w:b/>
          <w:bCs/>
          <w:color w:val="000000"/>
          <w:sz w:val="20"/>
          <w:szCs w:val="20"/>
        </w:rPr>
      </w:pPr>
      <w:r>
        <w:rPr>
          <w:rFonts w:ascii="Arial" w:hAnsi="Arial" w:cs="Arial"/>
          <w:b/>
          <w:bCs/>
          <w:color w:val="000000"/>
          <w:sz w:val="20"/>
          <w:szCs w:val="20"/>
        </w:rPr>
        <w:t>Reserve Bank of India (Financial Statements - Presentation and Disclosures) Directions, 2021 - Disclosure of Divergence in Asset Classification and Provisioning</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RBI/2022-23/130</w:t>
      </w:r>
      <w:r>
        <w:rPr>
          <w:rFonts w:ascii="Arial" w:hAnsi="Arial" w:cs="Arial"/>
          <w:color w:val="000000"/>
          <w:sz w:val="20"/>
          <w:szCs w:val="20"/>
        </w:rPr>
        <w:br/>
        <w:t>DOR.ACC.REC.No.74/21.04.018/2022-23</w:t>
      </w:r>
    </w:p>
    <w:p w:rsidR="00642494" w:rsidRDefault="00642494" w:rsidP="00642494">
      <w:pPr>
        <w:pStyle w:val="NormalWeb"/>
        <w:jc w:val="right"/>
        <w:rPr>
          <w:rFonts w:ascii="Arial" w:hAnsi="Arial" w:cs="Arial"/>
          <w:color w:val="000000"/>
          <w:sz w:val="20"/>
          <w:szCs w:val="20"/>
        </w:rPr>
      </w:pPr>
      <w:r>
        <w:rPr>
          <w:rFonts w:ascii="Arial" w:hAnsi="Arial" w:cs="Arial"/>
          <w:color w:val="000000"/>
          <w:sz w:val="20"/>
          <w:szCs w:val="20"/>
        </w:rPr>
        <w:lastRenderedPageBreak/>
        <w:t>October 11, 2022</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Madam / Dear Sir,</w:t>
      </w:r>
    </w:p>
    <w:p w:rsidR="00642494" w:rsidRDefault="00642494" w:rsidP="00642494">
      <w:pPr>
        <w:pStyle w:val="head"/>
        <w:jc w:val="both"/>
        <w:rPr>
          <w:rFonts w:ascii="Arial" w:hAnsi="Arial" w:cs="Arial"/>
          <w:b/>
          <w:bCs/>
          <w:color w:val="000000"/>
          <w:sz w:val="20"/>
          <w:szCs w:val="20"/>
        </w:rPr>
      </w:pPr>
      <w:r>
        <w:rPr>
          <w:rFonts w:ascii="Arial" w:hAnsi="Arial" w:cs="Arial"/>
          <w:b/>
          <w:bCs/>
          <w:color w:val="000000"/>
          <w:sz w:val="20"/>
          <w:szCs w:val="20"/>
        </w:rPr>
        <w:t>Reserve Bank of India (Financial Statements - Presentation and Disclosures) Directions, 2021 - Disclosure of Divergence in Asset Classification and Provisioning</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In terms of paragraph C.4(e) of Annexure III to the </w:t>
      </w:r>
      <w:hyperlink r:id="rId41" w:tgtFrame="_blank" w:history="1">
        <w:r>
          <w:rPr>
            <w:rStyle w:val="Hyperlink"/>
            <w:rFonts w:ascii="Arial" w:hAnsi="Arial" w:cs="Arial"/>
            <w:sz w:val="20"/>
            <w:szCs w:val="20"/>
          </w:rPr>
          <w:t>Reserve Bank of India (Financial Statements-Presentation and Disclosures) Directions, 2021</w:t>
        </w:r>
      </w:hyperlink>
      <w:r>
        <w:rPr>
          <w:rFonts w:ascii="Arial" w:hAnsi="Arial" w:cs="Arial"/>
          <w:color w:val="000000"/>
          <w:sz w:val="20"/>
          <w:szCs w:val="20"/>
        </w:rPr>
        <w:t>, commercial banks (excluding Regional Rural Banks (RRBs)) are required to disclose details of divergence in asset classification and provisioning where such divergence assessed by the Reserve Bank of India (RBI) exceeds certain specified thresholds. In order to strengthen compliance with income recognition, asset classification and provisioning norms, it has now been decided to introduce similar disclosure requirements for Primary (Urban) Co-operative Banks (UCBs) and revise the specified thresholds for commercial banks.</w:t>
      </w:r>
    </w:p>
    <w:p w:rsidR="00642494" w:rsidRDefault="00642494" w:rsidP="00642494">
      <w:pPr>
        <w:pStyle w:val="NormalWeb"/>
        <w:spacing w:after="0" w:afterAutospacing="0"/>
        <w:jc w:val="both"/>
        <w:rPr>
          <w:rFonts w:ascii="Arial" w:hAnsi="Arial" w:cs="Arial"/>
          <w:color w:val="000000"/>
          <w:sz w:val="20"/>
          <w:szCs w:val="20"/>
        </w:rPr>
      </w:pPr>
      <w:r>
        <w:rPr>
          <w:rFonts w:ascii="Arial" w:hAnsi="Arial" w:cs="Arial"/>
          <w:color w:val="000000"/>
          <w:sz w:val="20"/>
          <w:szCs w:val="20"/>
        </w:rPr>
        <w:t>2. Accordingly, for the financial statements for the year ending March 31, 2023, banks shall make suitable disclosures in the manner specified in paragraph C.4(e) of Annex III to the afore-mentioned Directions, if either or both of the following conditions are satisfied:</w:t>
      </w:r>
    </w:p>
    <w:p w:rsidR="00642494" w:rsidRDefault="00642494" w:rsidP="00642494">
      <w:pPr>
        <w:pStyle w:val="NormalWeb"/>
        <w:numPr>
          <w:ilvl w:val="0"/>
          <w:numId w:val="37"/>
        </w:numPr>
        <w:ind w:left="0"/>
        <w:jc w:val="both"/>
        <w:rPr>
          <w:rFonts w:ascii="Arial" w:hAnsi="Arial" w:cs="Arial"/>
          <w:color w:val="000000"/>
          <w:sz w:val="20"/>
          <w:szCs w:val="20"/>
        </w:rPr>
      </w:pPr>
      <w:r>
        <w:rPr>
          <w:rFonts w:ascii="Arial" w:hAnsi="Arial" w:cs="Arial"/>
          <w:color w:val="000000"/>
          <w:sz w:val="20"/>
          <w:szCs w:val="20"/>
        </w:rPr>
        <w:t>the additional provisioning for non-performing assets (NPAs) assessed by the RBI exceeds 10 per cent of the reported profit before provisions and contingencies</w:t>
      </w:r>
      <w:hyperlink r:id="rId42" w:anchor="F1" w:history="1">
        <w:r>
          <w:rPr>
            <w:rStyle w:val="Hyperlink"/>
            <w:rFonts w:ascii="Arial" w:hAnsi="Arial" w:cs="Arial"/>
            <w:sz w:val="15"/>
            <w:szCs w:val="15"/>
            <w:vertAlign w:val="superscript"/>
          </w:rPr>
          <w:t>1</w:t>
        </w:r>
      </w:hyperlink>
      <w:r>
        <w:rPr>
          <w:rFonts w:ascii="Arial" w:hAnsi="Arial" w:cs="Arial"/>
          <w:color w:val="000000"/>
          <w:sz w:val="20"/>
          <w:szCs w:val="20"/>
        </w:rPr>
        <w:t> for the reference period; and</w:t>
      </w:r>
    </w:p>
    <w:p w:rsidR="00642494" w:rsidRDefault="00642494" w:rsidP="00642494">
      <w:pPr>
        <w:pStyle w:val="NormalWeb"/>
        <w:numPr>
          <w:ilvl w:val="0"/>
          <w:numId w:val="37"/>
        </w:numPr>
        <w:spacing w:before="0" w:beforeAutospacing="0" w:after="0" w:afterAutospacing="0"/>
        <w:ind w:left="0"/>
        <w:jc w:val="both"/>
        <w:rPr>
          <w:rFonts w:ascii="Arial" w:hAnsi="Arial" w:cs="Arial"/>
          <w:color w:val="000000"/>
          <w:sz w:val="20"/>
          <w:szCs w:val="20"/>
        </w:rPr>
      </w:pPr>
      <w:r>
        <w:rPr>
          <w:rFonts w:ascii="Arial" w:hAnsi="Arial" w:cs="Arial"/>
          <w:color w:val="000000"/>
          <w:sz w:val="20"/>
          <w:szCs w:val="20"/>
        </w:rPr>
        <w:t>the additional Gross NPAs identified by the RBI exceed 10 per cent of the reported</w:t>
      </w:r>
      <w:hyperlink r:id="rId43" w:anchor="F2" w:history="1">
        <w:r>
          <w:rPr>
            <w:rStyle w:val="Hyperlink"/>
            <w:rFonts w:ascii="Arial" w:hAnsi="Arial" w:cs="Arial"/>
            <w:sz w:val="15"/>
            <w:szCs w:val="15"/>
            <w:vertAlign w:val="superscript"/>
          </w:rPr>
          <w:t>2</w:t>
        </w:r>
      </w:hyperlink>
      <w:r>
        <w:rPr>
          <w:rFonts w:ascii="Arial" w:hAnsi="Arial" w:cs="Arial"/>
          <w:color w:val="000000"/>
          <w:sz w:val="20"/>
          <w:szCs w:val="20"/>
        </w:rPr>
        <w:t> incremental Gross NPAs for the reference period.</w:t>
      </w:r>
    </w:p>
    <w:p w:rsidR="00642494" w:rsidRDefault="00642494" w:rsidP="00642494">
      <w:pPr>
        <w:pStyle w:val="NormalWeb"/>
        <w:spacing w:before="0" w:beforeAutospacing="0"/>
        <w:jc w:val="both"/>
        <w:rPr>
          <w:rFonts w:ascii="Arial" w:hAnsi="Arial" w:cs="Arial"/>
          <w:color w:val="000000"/>
          <w:sz w:val="20"/>
          <w:szCs w:val="20"/>
        </w:rPr>
      </w:pPr>
      <w:r>
        <w:rPr>
          <w:rFonts w:ascii="Arial" w:hAnsi="Arial" w:cs="Arial"/>
          <w:color w:val="000000"/>
          <w:sz w:val="20"/>
          <w:szCs w:val="20"/>
        </w:rPr>
        <w:t>Provided further that in the case of UCBs the threshold for reported incremental Gross NPAs specified in paragraph 2(b) above shall be 15 per cent, which shall be reduced progressively in a phased manner, after review.</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3. The thresholds specified in paragraph (2) above shall be revised for disclosures in annual financial statements for the year ending March 31, 2024, and onwards, as under:</w:t>
      </w:r>
    </w:p>
    <w:tbl>
      <w:tblPr>
        <w:tblW w:w="54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0"/>
        <w:gridCol w:w="4682"/>
        <w:gridCol w:w="2694"/>
        <w:gridCol w:w="1859"/>
      </w:tblGrid>
      <w:tr w:rsidR="00642494" w:rsidTr="007E4525">
        <w:trPr>
          <w:trHeight w:val="437"/>
          <w:jc w:val="center"/>
        </w:trPr>
        <w:tc>
          <w:tcPr>
            <w:tcW w:w="286" w:type="pct"/>
            <w:tcMar>
              <w:top w:w="0" w:type="dxa"/>
              <w:left w:w="45" w:type="dxa"/>
              <w:bottom w:w="0" w:type="dxa"/>
              <w:right w:w="45" w:type="dxa"/>
            </w:tcMar>
            <w:vAlign w:val="center"/>
            <w:hideMark/>
          </w:tcPr>
          <w:p w:rsidR="00642494" w:rsidRDefault="00642494" w:rsidP="007E4525">
            <w:pPr>
              <w:jc w:val="center"/>
              <w:rPr>
                <w:rFonts w:ascii="Arial" w:hAnsi="Arial" w:cs="Arial"/>
                <w:b/>
                <w:bCs/>
                <w:color w:val="000000"/>
                <w:sz w:val="20"/>
                <w:szCs w:val="20"/>
              </w:rPr>
            </w:pPr>
            <w:r>
              <w:rPr>
                <w:rFonts w:ascii="Arial" w:hAnsi="Arial" w:cs="Arial"/>
                <w:b/>
                <w:bCs/>
                <w:color w:val="000000"/>
                <w:sz w:val="20"/>
                <w:szCs w:val="20"/>
              </w:rPr>
              <w:t>Ref.</w:t>
            </w:r>
          </w:p>
        </w:tc>
        <w:tc>
          <w:tcPr>
            <w:tcW w:w="2390" w:type="pct"/>
            <w:tcMar>
              <w:top w:w="0" w:type="dxa"/>
              <w:left w:w="45" w:type="dxa"/>
              <w:bottom w:w="0" w:type="dxa"/>
              <w:right w:w="45" w:type="dxa"/>
            </w:tcMar>
            <w:vAlign w:val="center"/>
            <w:hideMark/>
          </w:tcPr>
          <w:p w:rsidR="00642494" w:rsidRDefault="00642494" w:rsidP="007E4525">
            <w:pPr>
              <w:jc w:val="center"/>
              <w:rPr>
                <w:rFonts w:ascii="Arial" w:hAnsi="Arial" w:cs="Arial"/>
                <w:b/>
                <w:bCs/>
                <w:color w:val="000000"/>
                <w:sz w:val="20"/>
                <w:szCs w:val="20"/>
              </w:rPr>
            </w:pPr>
            <w:r>
              <w:rPr>
                <w:rFonts w:ascii="Arial" w:hAnsi="Arial" w:cs="Arial"/>
                <w:b/>
                <w:bCs/>
                <w:color w:val="000000"/>
                <w:sz w:val="20"/>
                <w:szCs w:val="20"/>
              </w:rPr>
              <w:t>Threshold linked to:</w:t>
            </w:r>
          </w:p>
        </w:tc>
        <w:tc>
          <w:tcPr>
            <w:tcW w:w="1375" w:type="pct"/>
            <w:tcMar>
              <w:top w:w="0" w:type="dxa"/>
              <w:left w:w="45" w:type="dxa"/>
              <w:bottom w:w="0" w:type="dxa"/>
              <w:right w:w="45" w:type="dxa"/>
            </w:tcMar>
            <w:vAlign w:val="center"/>
            <w:hideMark/>
          </w:tcPr>
          <w:p w:rsidR="00642494" w:rsidRDefault="00642494" w:rsidP="007E4525">
            <w:pPr>
              <w:jc w:val="center"/>
              <w:rPr>
                <w:rFonts w:ascii="Arial" w:hAnsi="Arial" w:cs="Arial"/>
                <w:b/>
                <w:bCs/>
                <w:color w:val="000000"/>
                <w:sz w:val="20"/>
                <w:szCs w:val="20"/>
              </w:rPr>
            </w:pPr>
            <w:r>
              <w:rPr>
                <w:rFonts w:ascii="Arial" w:hAnsi="Arial" w:cs="Arial"/>
                <w:b/>
                <w:bCs/>
                <w:color w:val="000000"/>
                <w:sz w:val="20"/>
                <w:szCs w:val="20"/>
              </w:rPr>
              <w:t>Commercial Banks (%)</w:t>
            </w:r>
          </w:p>
        </w:tc>
        <w:tc>
          <w:tcPr>
            <w:tcW w:w="949" w:type="pct"/>
            <w:tcMar>
              <w:top w:w="0" w:type="dxa"/>
              <w:left w:w="45" w:type="dxa"/>
              <w:bottom w:w="0" w:type="dxa"/>
              <w:right w:w="45" w:type="dxa"/>
            </w:tcMar>
            <w:vAlign w:val="center"/>
            <w:hideMark/>
          </w:tcPr>
          <w:p w:rsidR="00642494" w:rsidRDefault="00642494" w:rsidP="007E4525">
            <w:pPr>
              <w:jc w:val="center"/>
              <w:rPr>
                <w:rFonts w:ascii="Arial" w:hAnsi="Arial" w:cs="Arial"/>
                <w:b/>
                <w:bCs/>
                <w:color w:val="000000"/>
                <w:sz w:val="20"/>
                <w:szCs w:val="20"/>
              </w:rPr>
            </w:pPr>
            <w:r>
              <w:rPr>
                <w:rFonts w:ascii="Arial" w:hAnsi="Arial" w:cs="Arial"/>
                <w:b/>
                <w:bCs/>
                <w:color w:val="000000"/>
                <w:sz w:val="20"/>
                <w:szCs w:val="20"/>
              </w:rPr>
              <w:t>UCBs (%)</w:t>
            </w:r>
          </w:p>
        </w:tc>
      </w:tr>
      <w:tr w:rsidR="00642494" w:rsidTr="007E4525">
        <w:trPr>
          <w:trHeight w:val="442"/>
          <w:jc w:val="center"/>
        </w:trPr>
        <w:tc>
          <w:tcPr>
            <w:tcW w:w="286" w:type="pct"/>
            <w:tcMar>
              <w:top w:w="0" w:type="dxa"/>
              <w:left w:w="45" w:type="dxa"/>
              <w:bottom w:w="0" w:type="dxa"/>
              <w:right w:w="45" w:type="dxa"/>
            </w:tcMar>
            <w:vAlign w:val="center"/>
            <w:hideMark/>
          </w:tcPr>
          <w:p w:rsidR="00642494" w:rsidRDefault="00642494" w:rsidP="007E4525">
            <w:pPr>
              <w:jc w:val="center"/>
              <w:rPr>
                <w:rFonts w:ascii="Arial" w:hAnsi="Arial" w:cs="Arial"/>
                <w:color w:val="000000"/>
                <w:sz w:val="20"/>
                <w:szCs w:val="20"/>
              </w:rPr>
            </w:pPr>
            <w:r>
              <w:rPr>
                <w:rFonts w:ascii="Arial" w:hAnsi="Arial" w:cs="Arial"/>
                <w:color w:val="000000"/>
                <w:sz w:val="20"/>
                <w:szCs w:val="20"/>
              </w:rPr>
              <w:t>2(a)</w:t>
            </w:r>
          </w:p>
        </w:tc>
        <w:tc>
          <w:tcPr>
            <w:tcW w:w="2390" w:type="pct"/>
            <w:tcMar>
              <w:top w:w="0" w:type="dxa"/>
              <w:left w:w="45" w:type="dxa"/>
              <w:bottom w:w="0" w:type="dxa"/>
              <w:right w:w="45" w:type="dxa"/>
            </w:tcMar>
            <w:vAlign w:val="center"/>
            <w:hideMark/>
          </w:tcPr>
          <w:p w:rsidR="00642494" w:rsidRDefault="00642494" w:rsidP="007E4525">
            <w:pPr>
              <w:jc w:val="both"/>
              <w:rPr>
                <w:rFonts w:ascii="Arial" w:hAnsi="Arial" w:cs="Arial"/>
                <w:color w:val="000000"/>
                <w:sz w:val="20"/>
                <w:szCs w:val="20"/>
              </w:rPr>
            </w:pPr>
            <w:r>
              <w:rPr>
                <w:rFonts w:ascii="Arial" w:hAnsi="Arial" w:cs="Arial"/>
                <w:color w:val="000000"/>
                <w:sz w:val="20"/>
                <w:szCs w:val="20"/>
              </w:rPr>
              <w:t>Reported profit before provisions and contingencies</w:t>
            </w:r>
          </w:p>
        </w:tc>
        <w:tc>
          <w:tcPr>
            <w:tcW w:w="1375" w:type="pct"/>
            <w:tcMar>
              <w:top w:w="0" w:type="dxa"/>
              <w:left w:w="45" w:type="dxa"/>
              <w:bottom w:w="0" w:type="dxa"/>
              <w:right w:w="45" w:type="dxa"/>
            </w:tcMar>
            <w:vAlign w:val="center"/>
            <w:hideMark/>
          </w:tcPr>
          <w:p w:rsidR="00642494" w:rsidRDefault="00642494" w:rsidP="007E4525">
            <w:pPr>
              <w:jc w:val="center"/>
              <w:rPr>
                <w:rFonts w:ascii="Arial" w:hAnsi="Arial" w:cs="Arial"/>
                <w:color w:val="000000"/>
                <w:sz w:val="20"/>
                <w:szCs w:val="20"/>
              </w:rPr>
            </w:pPr>
            <w:r>
              <w:rPr>
                <w:rFonts w:ascii="Arial" w:hAnsi="Arial" w:cs="Arial"/>
                <w:color w:val="000000"/>
                <w:sz w:val="20"/>
                <w:szCs w:val="20"/>
              </w:rPr>
              <w:t>5</w:t>
            </w:r>
          </w:p>
        </w:tc>
        <w:tc>
          <w:tcPr>
            <w:tcW w:w="949" w:type="pct"/>
            <w:tcMar>
              <w:top w:w="0" w:type="dxa"/>
              <w:left w:w="45" w:type="dxa"/>
              <w:bottom w:w="0" w:type="dxa"/>
              <w:right w:w="45" w:type="dxa"/>
            </w:tcMar>
            <w:vAlign w:val="center"/>
            <w:hideMark/>
          </w:tcPr>
          <w:p w:rsidR="00642494" w:rsidRDefault="00642494" w:rsidP="007E4525">
            <w:pPr>
              <w:jc w:val="center"/>
              <w:rPr>
                <w:rFonts w:ascii="Arial" w:hAnsi="Arial" w:cs="Arial"/>
                <w:color w:val="000000"/>
                <w:sz w:val="20"/>
                <w:szCs w:val="20"/>
              </w:rPr>
            </w:pPr>
            <w:r>
              <w:rPr>
                <w:rFonts w:ascii="Arial" w:hAnsi="Arial" w:cs="Arial"/>
                <w:color w:val="000000"/>
                <w:sz w:val="20"/>
                <w:szCs w:val="20"/>
              </w:rPr>
              <w:t>5</w:t>
            </w:r>
          </w:p>
        </w:tc>
      </w:tr>
      <w:tr w:rsidR="00642494" w:rsidTr="007E4525">
        <w:trPr>
          <w:trHeight w:val="273"/>
          <w:jc w:val="center"/>
        </w:trPr>
        <w:tc>
          <w:tcPr>
            <w:tcW w:w="286" w:type="pct"/>
            <w:tcMar>
              <w:top w:w="0" w:type="dxa"/>
              <w:left w:w="45" w:type="dxa"/>
              <w:bottom w:w="0" w:type="dxa"/>
              <w:right w:w="45" w:type="dxa"/>
            </w:tcMar>
            <w:vAlign w:val="center"/>
            <w:hideMark/>
          </w:tcPr>
          <w:p w:rsidR="00642494" w:rsidRDefault="00642494" w:rsidP="007E4525">
            <w:pPr>
              <w:jc w:val="center"/>
              <w:rPr>
                <w:rFonts w:ascii="Arial" w:hAnsi="Arial" w:cs="Arial"/>
                <w:color w:val="000000"/>
                <w:sz w:val="20"/>
                <w:szCs w:val="20"/>
              </w:rPr>
            </w:pPr>
            <w:r>
              <w:rPr>
                <w:rFonts w:ascii="Arial" w:hAnsi="Arial" w:cs="Arial"/>
                <w:color w:val="000000"/>
                <w:sz w:val="20"/>
                <w:szCs w:val="20"/>
              </w:rPr>
              <w:t>2(b)</w:t>
            </w:r>
          </w:p>
        </w:tc>
        <w:tc>
          <w:tcPr>
            <w:tcW w:w="2390" w:type="pct"/>
            <w:tcMar>
              <w:top w:w="0" w:type="dxa"/>
              <w:left w:w="45" w:type="dxa"/>
              <w:bottom w:w="0" w:type="dxa"/>
              <w:right w:w="45" w:type="dxa"/>
            </w:tcMar>
            <w:vAlign w:val="center"/>
            <w:hideMark/>
          </w:tcPr>
          <w:p w:rsidR="00642494" w:rsidRDefault="00642494" w:rsidP="007E4525">
            <w:pPr>
              <w:jc w:val="both"/>
              <w:rPr>
                <w:rFonts w:ascii="Arial" w:hAnsi="Arial" w:cs="Arial"/>
                <w:color w:val="000000"/>
                <w:sz w:val="20"/>
                <w:szCs w:val="20"/>
              </w:rPr>
            </w:pPr>
            <w:r>
              <w:rPr>
                <w:rFonts w:ascii="Arial" w:hAnsi="Arial" w:cs="Arial"/>
                <w:color w:val="000000"/>
                <w:sz w:val="20"/>
                <w:szCs w:val="20"/>
              </w:rPr>
              <w:t>Reported incremental Gross NPA</w:t>
            </w:r>
          </w:p>
        </w:tc>
        <w:tc>
          <w:tcPr>
            <w:tcW w:w="1375" w:type="pct"/>
            <w:tcMar>
              <w:top w:w="0" w:type="dxa"/>
              <w:left w:w="45" w:type="dxa"/>
              <w:bottom w:w="0" w:type="dxa"/>
              <w:right w:w="45" w:type="dxa"/>
            </w:tcMar>
            <w:vAlign w:val="center"/>
            <w:hideMark/>
          </w:tcPr>
          <w:p w:rsidR="00642494" w:rsidRDefault="00642494" w:rsidP="007E4525">
            <w:pPr>
              <w:jc w:val="center"/>
              <w:rPr>
                <w:rFonts w:ascii="Arial" w:hAnsi="Arial" w:cs="Arial"/>
                <w:color w:val="000000"/>
                <w:sz w:val="20"/>
                <w:szCs w:val="20"/>
              </w:rPr>
            </w:pPr>
            <w:r>
              <w:rPr>
                <w:rFonts w:ascii="Arial" w:hAnsi="Arial" w:cs="Arial"/>
                <w:color w:val="000000"/>
                <w:sz w:val="20"/>
                <w:szCs w:val="20"/>
              </w:rPr>
              <w:t>5</w:t>
            </w:r>
          </w:p>
        </w:tc>
        <w:tc>
          <w:tcPr>
            <w:tcW w:w="949" w:type="pct"/>
            <w:tcMar>
              <w:top w:w="0" w:type="dxa"/>
              <w:left w:w="45" w:type="dxa"/>
              <w:bottom w:w="0" w:type="dxa"/>
              <w:right w:w="45" w:type="dxa"/>
            </w:tcMar>
            <w:vAlign w:val="center"/>
            <w:hideMark/>
          </w:tcPr>
          <w:p w:rsidR="00642494" w:rsidRDefault="00642494" w:rsidP="007E4525">
            <w:pPr>
              <w:jc w:val="center"/>
              <w:rPr>
                <w:rFonts w:ascii="Arial" w:hAnsi="Arial" w:cs="Arial"/>
                <w:color w:val="000000"/>
                <w:sz w:val="20"/>
                <w:szCs w:val="20"/>
              </w:rPr>
            </w:pPr>
            <w:r>
              <w:rPr>
                <w:rFonts w:ascii="Arial" w:hAnsi="Arial" w:cs="Arial"/>
                <w:color w:val="000000"/>
                <w:sz w:val="20"/>
                <w:szCs w:val="20"/>
              </w:rPr>
              <w:t>15*</w:t>
            </w:r>
          </w:p>
        </w:tc>
      </w:tr>
      <w:tr w:rsidR="00642494" w:rsidTr="007E4525">
        <w:trPr>
          <w:trHeight w:val="197"/>
          <w:jc w:val="center"/>
        </w:trPr>
        <w:tc>
          <w:tcPr>
            <w:tcW w:w="5000" w:type="pct"/>
            <w:gridSpan w:val="4"/>
            <w:tcMar>
              <w:top w:w="0" w:type="dxa"/>
              <w:left w:w="45" w:type="dxa"/>
              <w:bottom w:w="0" w:type="dxa"/>
              <w:right w:w="45" w:type="dxa"/>
            </w:tcMar>
            <w:vAlign w:val="center"/>
            <w:hideMark/>
          </w:tcPr>
          <w:p w:rsidR="00642494" w:rsidRDefault="00642494" w:rsidP="007E4525">
            <w:pPr>
              <w:jc w:val="both"/>
              <w:rPr>
                <w:rFonts w:ascii="Arial" w:hAnsi="Arial" w:cs="Arial"/>
                <w:color w:val="000000"/>
                <w:sz w:val="20"/>
                <w:szCs w:val="20"/>
              </w:rPr>
            </w:pPr>
            <w:r>
              <w:rPr>
                <w:rFonts w:ascii="Arial" w:hAnsi="Arial" w:cs="Arial"/>
                <w:color w:val="000000"/>
                <w:sz w:val="20"/>
                <w:szCs w:val="20"/>
              </w:rPr>
              <w:t>*May be reduced subject to review</w:t>
            </w:r>
          </w:p>
        </w:tc>
      </w:tr>
    </w:tbl>
    <w:p w:rsidR="00642494" w:rsidRDefault="00642494" w:rsidP="00642494">
      <w:pPr>
        <w:pStyle w:val="NormalWeb"/>
        <w:spacing w:after="0" w:afterAutospacing="0"/>
        <w:jc w:val="both"/>
        <w:rPr>
          <w:rFonts w:ascii="Arial" w:hAnsi="Arial" w:cs="Arial"/>
          <w:color w:val="000000"/>
          <w:sz w:val="20"/>
          <w:szCs w:val="20"/>
        </w:rPr>
      </w:pPr>
      <w:r>
        <w:rPr>
          <w:rFonts w:ascii="Arial" w:hAnsi="Arial" w:cs="Arial"/>
          <w:color w:val="000000"/>
          <w:sz w:val="20"/>
          <w:szCs w:val="20"/>
        </w:rPr>
        <w:t>Yours faithfully,</w:t>
      </w:r>
    </w:p>
    <w:p w:rsidR="00642494" w:rsidRDefault="00642494" w:rsidP="00642494">
      <w:pPr>
        <w:pStyle w:val="NormalWeb"/>
        <w:spacing w:before="0" w:beforeAutospacing="0"/>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Usha</w:t>
      </w:r>
      <w:proofErr w:type="spellEnd"/>
      <w:r>
        <w:rPr>
          <w:rFonts w:ascii="Arial" w:hAnsi="Arial" w:cs="Arial"/>
          <w:color w:val="000000"/>
          <w:sz w:val="20"/>
          <w:szCs w:val="20"/>
        </w:rPr>
        <w:t xml:space="preserve"> </w:t>
      </w:r>
      <w:proofErr w:type="spellStart"/>
      <w:r>
        <w:rPr>
          <w:rFonts w:ascii="Arial" w:hAnsi="Arial" w:cs="Arial"/>
          <w:color w:val="000000"/>
          <w:sz w:val="20"/>
          <w:szCs w:val="20"/>
        </w:rPr>
        <w:t>Janakiraman</w:t>
      </w:r>
      <w:proofErr w:type="spellEnd"/>
      <w:r>
        <w:rPr>
          <w:rFonts w:ascii="Arial" w:hAnsi="Arial" w:cs="Arial"/>
          <w:color w:val="000000"/>
          <w:sz w:val="20"/>
          <w:szCs w:val="20"/>
        </w:rPr>
        <w:t>)</w:t>
      </w:r>
      <w:r>
        <w:rPr>
          <w:rFonts w:ascii="Arial" w:hAnsi="Arial" w:cs="Arial"/>
          <w:color w:val="000000"/>
          <w:sz w:val="20"/>
          <w:szCs w:val="20"/>
        </w:rPr>
        <w:br/>
        <w:t>Chief General Manager</w:t>
      </w:r>
    </w:p>
    <w:p w:rsidR="00642494" w:rsidRDefault="00642494" w:rsidP="00642494">
      <w:pPr>
        <w:spacing w:line="259" w:lineRule="auto"/>
        <w:rPr>
          <w:rFonts w:ascii="Arial" w:hAnsi="Arial" w:cs="Arial"/>
          <w:sz w:val="20"/>
          <w:szCs w:val="20"/>
        </w:rPr>
      </w:pPr>
    </w:p>
    <w:p w:rsidR="00642494" w:rsidRDefault="00642494" w:rsidP="00642494">
      <w:pPr>
        <w:spacing w:after="0"/>
      </w:pPr>
    </w:p>
    <w:p w:rsidR="00642494" w:rsidRDefault="00642494" w:rsidP="00642494">
      <w:pPr>
        <w:spacing w:after="0"/>
      </w:pPr>
      <w:r>
        <w:t>More details can be referred to in the below link.</w:t>
      </w:r>
    </w:p>
    <w:p w:rsidR="00642494" w:rsidRDefault="00642494" w:rsidP="00642494">
      <w:pPr>
        <w:spacing w:after="0"/>
        <w:rPr>
          <w:rStyle w:val="Hyperlink"/>
          <w:rFonts w:ascii="Arial" w:hAnsi="Arial" w:cs="Arial"/>
          <w:bCs/>
          <w:sz w:val="20"/>
          <w:szCs w:val="20"/>
        </w:rPr>
      </w:pPr>
      <w:r>
        <w:rPr>
          <w:rFonts w:ascii="Arial" w:hAnsi="Arial" w:cs="Arial"/>
          <w:bCs/>
          <w:color w:val="000000"/>
          <w:sz w:val="20"/>
          <w:szCs w:val="20"/>
        </w:rPr>
        <w:t xml:space="preserve">Reference Link: </w:t>
      </w:r>
      <w:hyperlink r:id="rId44" w:anchor=":~:text=4(e)%20of%20Annexure%20III,by%20the%20Reserve%20Bank%20of" w:history="1">
        <w:r w:rsidRPr="00735218">
          <w:rPr>
            <w:rStyle w:val="Hyperlink"/>
            <w:rFonts w:ascii="Arial" w:hAnsi="Arial" w:cs="Arial"/>
            <w:bCs/>
            <w:sz w:val="20"/>
            <w:szCs w:val="20"/>
          </w:rPr>
          <w:t>https://www.rbi.org.in/scripts/FS_Notification.aspx?Id=12401&amp;fn=2&amp;Mode=0#:~:text=4(e)%20of%20Annexure%20III,by%20the%20Reserve%20Bank%20of</w:t>
        </w:r>
      </w:hyperlink>
    </w:p>
    <w:p w:rsidR="00642494" w:rsidRDefault="00642494" w:rsidP="00230EAC">
      <w:pPr>
        <w:spacing w:line="259" w:lineRule="auto"/>
        <w:rPr>
          <w:rFonts w:ascii="Arial" w:hAnsi="Arial" w:cs="Arial"/>
          <w:b/>
          <w:bCs/>
          <w:color w:val="000000"/>
          <w:sz w:val="20"/>
          <w:szCs w:val="20"/>
        </w:rPr>
      </w:pPr>
    </w:p>
    <w:p w:rsidR="00642494" w:rsidRDefault="00642494" w:rsidP="00642494">
      <w:pPr>
        <w:pStyle w:val="NormalWeb"/>
        <w:rPr>
          <w:rFonts w:ascii="Arial" w:hAnsi="Arial" w:cs="Arial"/>
          <w:b/>
          <w:bCs/>
          <w:color w:val="000000"/>
          <w:sz w:val="20"/>
          <w:szCs w:val="20"/>
        </w:rPr>
      </w:pPr>
      <w:r>
        <w:rPr>
          <w:rFonts w:ascii="Arial" w:hAnsi="Arial" w:cs="Arial"/>
          <w:b/>
          <w:bCs/>
          <w:color w:val="000000"/>
          <w:sz w:val="20"/>
          <w:szCs w:val="20"/>
        </w:rPr>
        <w:t>Claims Received from the National Credit Guarantee Trustee Company Ltd (NCGTC) - Classification for the Purpose of Maintenance of Cash Reserve Ratio (CRR)/Statutory Liquidity Ratio (SLR)</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RBI/2022-23/132</w:t>
      </w:r>
      <w:r>
        <w:rPr>
          <w:rFonts w:ascii="Arial" w:hAnsi="Arial" w:cs="Arial"/>
          <w:color w:val="000000"/>
          <w:sz w:val="20"/>
          <w:szCs w:val="20"/>
        </w:rPr>
        <w:br/>
        <w:t>DOR.RET.REC.79/12.01.001/2022-23</w:t>
      </w:r>
    </w:p>
    <w:p w:rsidR="00642494" w:rsidRDefault="00642494" w:rsidP="00642494">
      <w:pPr>
        <w:pStyle w:val="NormalWeb"/>
        <w:jc w:val="right"/>
        <w:rPr>
          <w:rFonts w:ascii="Arial" w:hAnsi="Arial" w:cs="Arial"/>
          <w:color w:val="000000"/>
          <w:sz w:val="20"/>
          <w:szCs w:val="20"/>
        </w:rPr>
      </w:pPr>
      <w:r>
        <w:rPr>
          <w:rFonts w:ascii="Arial" w:hAnsi="Arial" w:cs="Arial"/>
          <w:color w:val="000000"/>
          <w:sz w:val="20"/>
          <w:szCs w:val="20"/>
        </w:rPr>
        <w:lastRenderedPageBreak/>
        <w:t>October 13, 2022</w:t>
      </w:r>
    </w:p>
    <w:p w:rsidR="00642494" w:rsidRDefault="00642494" w:rsidP="00642494">
      <w:pPr>
        <w:pStyle w:val="NormalWeb"/>
        <w:rPr>
          <w:rFonts w:ascii="Arial" w:hAnsi="Arial" w:cs="Arial"/>
          <w:color w:val="000000"/>
          <w:sz w:val="20"/>
          <w:szCs w:val="20"/>
        </w:rPr>
      </w:pPr>
      <w:r>
        <w:rPr>
          <w:rFonts w:ascii="Arial" w:hAnsi="Arial" w:cs="Arial"/>
          <w:color w:val="000000"/>
          <w:sz w:val="20"/>
          <w:szCs w:val="20"/>
        </w:rPr>
        <w:t>All Scheduled Commercial Banks (including Regional Rural Banks)</w:t>
      </w:r>
      <w:r>
        <w:rPr>
          <w:rFonts w:ascii="Arial" w:hAnsi="Arial" w:cs="Arial"/>
          <w:color w:val="000000"/>
          <w:sz w:val="20"/>
          <w:szCs w:val="20"/>
        </w:rPr>
        <w:br/>
        <w:t>Local Area Banks, Small Finance Banks, Payments Banks</w:t>
      </w:r>
      <w:r>
        <w:rPr>
          <w:rFonts w:ascii="Arial" w:hAnsi="Arial" w:cs="Arial"/>
          <w:color w:val="000000"/>
          <w:sz w:val="20"/>
          <w:szCs w:val="20"/>
        </w:rPr>
        <w:br/>
        <w:t>Primary (Urban) Co-operative Banks (UCBs)</w:t>
      </w:r>
      <w:r>
        <w:rPr>
          <w:rFonts w:ascii="Arial" w:hAnsi="Arial" w:cs="Arial"/>
          <w:color w:val="000000"/>
          <w:sz w:val="20"/>
          <w:szCs w:val="20"/>
        </w:rPr>
        <w:br/>
        <w:t>State and Central Co-operative Banks (</w:t>
      </w:r>
      <w:proofErr w:type="spellStart"/>
      <w:r>
        <w:rPr>
          <w:rFonts w:ascii="Arial" w:hAnsi="Arial" w:cs="Arial"/>
          <w:color w:val="000000"/>
          <w:sz w:val="20"/>
          <w:szCs w:val="20"/>
        </w:rPr>
        <w:t>StCBs</w:t>
      </w:r>
      <w:proofErr w:type="spellEnd"/>
      <w:r>
        <w:rPr>
          <w:rFonts w:ascii="Arial" w:hAnsi="Arial" w:cs="Arial"/>
          <w:color w:val="000000"/>
          <w:sz w:val="20"/>
          <w:szCs w:val="20"/>
        </w:rPr>
        <w:t>/CCBs)</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Madam/Dear Sir,</w:t>
      </w:r>
    </w:p>
    <w:p w:rsidR="00642494" w:rsidRDefault="00642494" w:rsidP="00642494">
      <w:pPr>
        <w:pStyle w:val="head"/>
        <w:jc w:val="both"/>
        <w:rPr>
          <w:rFonts w:ascii="Arial" w:hAnsi="Arial" w:cs="Arial"/>
          <w:b/>
          <w:bCs/>
          <w:color w:val="000000"/>
          <w:sz w:val="20"/>
          <w:szCs w:val="20"/>
        </w:rPr>
      </w:pPr>
      <w:r>
        <w:rPr>
          <w:rFonts w:ascii="Arial" w:hAnsi="Arial" w:cs="Arial"/>
          <w:b/>
          <w:bCs/>
          <w:color w:val="000000"/>
          <w:sz w:val="20"/>
          <w:szCs w:val="20"/>
        </w:rPr>
        <w:t>Claims Received from the National Credit Guarantee Trustee Company Ltd (NCGTC) - Classification for the Purpose of Maintenance of Cash Reserve Ratio (CRR)/Statutory Liquidity Ratio (SLR)</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Please refer to para 9 (Liabilities not to be included for NDTL computation) of </w:t>
      </w:r>
      <w:hyperlink r:id="rId45" w:tgtFrame="_blank" w:history="1">
        <w:r>
          <w:rPr>
            <w:rStyle w:val="Hyperlink"/>
            <w:rFonts w:ascii="Arial" w:hAnsi="Arial" w:cs="Arial"/>
            <w:sz w:val="20"/>
            <w:szCs w:val="20"/>
          </w:rPr>
          <w:t>Master Direction on CRR/SLR – 2021 dated July 20, 2021, as amended on April 06, 2022</w:t>
        </w:r>
      </w:hyperlink>
      <w:r>
        <w:rPr>
          <w:rFonts w:ascii="Arial" w:hAnsi="Arial" w:cs="Arial"/>
          <w:color w:val="000000"/>
          <w:sz w:val="20"/>
          <w:szCs w:val="20"/>
        </w:rPr>
        <w:t>.</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2. In this connection, it has been decided that the amounts received by a bank from the National Credit Guarantee Trustee Company Ltd towards claims in respect of guarantees invoked and held by them pending adjustment of the same towards the relative advances, need not be treated as outside liabilities for the purpose of computation of NDTL for CRR and SLR.</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3. Accordingly, para 9 of the Master Direction on CRR/SLR – 2021 will henceforth include “Amount received by the eligible banks from National Credit Guarantee Trustee Company Limited (NCGTC) by invoking the guarantee towards claims and pending adjustments thereof”.</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Yours faithfully</w:t>
      </w:r>
    </w:p>
    <w:p w:rsidR="00642494" w:rsidRDefault="00642494" w:rsidP="00642494">
      <w:pPr>
        <w:pStyle w:val="NormalWeb"/>
        <w:rPr>
          <w:rFonts w:ascii="Arial" w:hAnsi="Arial" w:cs="Arial"/>
          <w:color w:val="000000"/>
          <w:sz w:val="20"/>
          <w:szCs w:val="20"/>
        </w:rPr>
      </w:pPr>
      <w:r>
        <w:rPr>
          <w:rFonts w:ascii="Arial" w:hAnsi="Arial" w:cs="Arial"/>
          <w:color w:val="000000"/>
          <w:sz w:val="20"/>
          <w:szCs w:val="20"/>
        </w:rPr>
        <w:t xml:space="preserve">(Prakash </w:t>
      </w:r>
      <w:proofErr w:type="spellStart"/>
      <w:r>
        <w:rPr>
          <w:rFonts w:ascii="Arial" w:hAnsi="Arial" w:cs="Arial"/>
          <w:color w:val="000000"/>
          <w:sz w:val="20"/>
          <w:szCs w:val="20"/>
        </w:rPr>
        <w:t>Baliarsingh</w:t>
      </w:r>
      <w:proofErr w:type="spellEnd"/>
      <w:r>
        <w:rPr>
          <w:rFonts w:ascii="Arial" w:hAnsi="Arial" w:cs="Arial"/>
          <w:color w:val="000000"/>
          <w:sz w:val="20"/>
          <w:szCs w:val="20"/>
        </w:rPr>
        <w:t>)</w:t>
      </w:r>
      <w:r>
        <w:rPr>
          <w:rFonts w:ascii="Arial" w:hAnsi="Arial" w:cs="Arial"/>
          <w:color w:val="000000"/>
          <w:sz w:val="20"/>
          <w:szCs w:val="20"/>
        </w:rPr>
        <w:br/>
        <w:t>Chief General Manager</w:t>
      </w:r>
    </w:p>
    <w:p w:rsidR="00642494" w:rsidRDefault="00642494" w:rsidP="00642494"/>
    <w:p w:rsidR="00642494" w:rsidRDefault="00642494" w:rsidP="00642494"/>
    <w:p w:rsidR="00642494" w:rsidRDefault="00642494" w:rsidP="00642494">
      <w:r>
        <w:t>More details can be referred to in the below link.</w:t>
      </w:r>
    </w:p>
    <w:p w:rsidR="00642494" w:rsidRDefault="00642494" w:rsidP="00642494">
      <w:pPr>
        <w:spacing w:after="0"/>
        <w:rPr>
          <w:rStyle w:val="Hyperlink"/>
          <w:rFonts w:ascii="Arial" w:hAnsi="Arial" w:cs="Arial"/>
          <w:sz w:val="20"/>
          <w:szCs w:val="20"/>
        </w:rPr>
      </w:pPr>
      <w:r>
        <w:rPr>
          <w:rFonts w:ascii="Arial" w:hAnsi="Arial" w:cs="Arial"/>
          <w:bCs/>
          <w:color w:val="000000"/>
          <w:sz w:val="20"/>
          <w:szCs w:val="20"/>
        </w:rPr>
        <w:t xml:space="preserve">Reference Link: </w:t>
      </w:r>
      <w:hyperlink r:id="rId46" w:history="1">
        <w:r w:rsidRPr="006865D6">
          <w:rPr>
            <w:rStyle w:val="Hyperlink"/>
            <w:rFonts w:ascii="Arial" w:hAnsi="Arial" w:cs="Arial"/>
            <w:sz w:val="20"/>
            <w:szCs w:val="20"/>
          </w:rPr>
          <w:t>https://www.rbi.org.in/scripts/FS_Notification.aspx?Id=12403&amp;fn=2&amp;Mode=0</w:t>
        </w:r>
      </w:hyperlink>
    </w:p>
    <w:p w:rsidR="00642494" w:rsidRDefault="00642494" w:rsidP="00642494">
      <w:pPr>
        <w:spacing w:after="0"/>
        <w:rPr>
          <w:rStyle w:val="Hyperlink"/>
          <w:rFonts w:ascii="Arial" w:hAnsi="Arial" w:cs="Arial"/>
          <w:sz w:val="20"/>
          <w:szCs w:val="20"/>
        </w:rPr>
      </w:pPr>
    </w:p>
    <w:p w:rsidR="00642494" w:rsidRDefault="00642494" w:rsidP="00642494">
      <w:pPr>
        <w:spacing w:after="0"/>
        <w:rPr>
          <w:rStyle w:val="Hyperlink"/>
          <w:rFonts w:ascii="Arial" w:hAnsi="Arial" w:cs="Arial"/>
          <w:sz w:val="20"/>
          <w:szCs w:val="20"/>
        </w:rPr>
      </w:pPr>
    </w:p>
    <w:p w:rsidR="00642494" w:rsidRDefault="00642494" w:rsidP="00642494">
      <w:pPr>
        <w:spacing w:after="0"/>
        <w:rPr>
          <w:rStyle w:val="Hyperlink"/>
          <w:rFonts w:ascii="Arial" w:hAnsi="Arial" w:cs="Arial"/>
          <w:sz w:val="20"/>
          <w:szCs w:val="20"/>
        </w:rPr>
      </w:pPr>
    </w:p>
    <w:p w:rsidR="00642494" w:rsidRDefault="00642494" w:rsidP="00642494">
      <w:pPr>
        <w:spacing w:after="0"/>
        <w:rPr>
          <w:rStyle w:val="Hyperlink"/>
          <w:rFonts w:ascii="Arial" w:hAnsi="Arial" w:cs="Arial"/>
          <w:sz w:val="20"/>
          <w:szCs w:val="20"/>
        </w:rPr>
      </w:pPr>
    </w:p>
    <w:p w:rsidR="00642494" w:rsidRDefault="00642494" w:rsidP="00230EAC">
      <w:pPr>
        <w:spacing w:line="259" w:lineRule="auto"/>
        <w:rPr>
          <w:rFonts w:ascii="Arial" w:hAnsi="Arial" w:cs="Arial"/>
          <w:b/>
          <w:bCs/>
          <w:color w:val="000000"/>
          <w:sz w:val="20"/>
          <w:szCs w:val="20"/>
        </w:rPr>
      </w:pPr>
    </w:p>
    <w:p w:rsidR="00642494" w:rsidRDefault="00642494" w:rsidP="00230EAC">
      <w:pPr>
        <w:spacing w:line="259" w:lineRule="auto"/>
        <w:rPr>
          <w:rFonts w:ascii="Arial" w:hAnsi="Arial" w:cs="Arial"/>
          <w:b/>
          <w:bCs/>
          <w:color w:val="000000"/>
          <w:sz w:val="20"/>
          <w:szCs w:val="20"/>
        </w:rPr>
      </w:pPr>
    </w:p>
    <w:p w:rsidR="00642494" w:rsidRDefault="00642494" w:rsidP="00230EAC">
      <w:pPr>
        <w:spacing w:line="259" w:lineRule="auto"/>
        <w:rPr>
          <w:rFonts w:ascii="Arial" w:hAnsi="Arial" w:cs="Arial"/>
          <w:b/>
          <w:bCs/>
          <w:color w:val="000000"/>
          <w:sz w:val="20"/>
          <w:szCs w:val="20"/>
        </w:rPr>
      </w:pPr>
    </w:p>
    <w:p w:rsidR="00642494" w:rsidRDefault="00642494" w:rsidP="00230EAC">
      <w:pPr>
        <w:spacing w:line="259" w:lineRule="auto"/>
        <w:rPr>
          <w:rFonts w:ascii="Arial" w:hAnsi="Arial" w:cs="Arial"/>
          <w:b/>
          <w:bCs/>
          <w:color w:val="000000"/>
          <w:sz w:val="20"/>
          <w:szCs w:val="20"/>
        </w:rPr>
      </w:pPr>
    </w:p>
    <w:p w:rsidR="00642494" w:rsidRDefault="00642494" w:rsidP="00230EAC">
      <w:pPr>
        <w:spacing w:line="259" w:lineRule="auto"/>
        <w:rPr>
          <w:rFonts w:ascii="Arial" w:hAnsi="Arial" w:cs="Arial"/>
          <w:b/>
          <w:bCs/>
          <w:color w:val="000000"/>
          <w:sz w:val="20"/>
          <w:szCs w:val="20"/>
        </w:rPr>
      </w:pPr>
    </w:p>
    <w:p w:rsidR="00642494" w:rsidRDefault="00642494" w:rsidP="00230EAC">
      <w:pPr>
        <w:spacing w:line="259" w:lineRule="auto"/>
        <w:rPr>
          <w:rFonts w:ascii="Arial" w:hAnsi="Arial" w:cs="Arial"/>
          <w:b/>
          <w:bCs/>
          <w:color w:val="000000"/>
          <w:sz w:val="20"/>
          <w:szCs w:val="20"/>
        </w:rPr>
      </w:pPr>
    </w:p>
    <w:p w:rsidR="00642494" w:rsidRDefault="00642494" w:rsidP="00642494">
      <w:pPr>
        <w:pStyle w:val="NormalWeb"/>
        <w:rPr>
          <w:rFonts w:ascii="Arial" w:hAnsi="Arial" w:cs="Arial"/>
          <w:b/>
          <w:bCs/>
          <w:color w:val="000000"/>
          <w:sz w:val="20"/>
          <w:szCs w:val="20"/>
        </w:rPr>
      </w:pPr>
      <w:r>
        <w:rPr>
          <w:rFonts w:ascii="Arial" w:hAnsi="Arial" w:cs="Arial"/>
          <w:b/>
          <w:bCs/>
          <w:color w:val="000000"/>
          <w:sz w:val="20"/>
          <w:szCs w:val="20"/>
        </w:rPr>
        <w:t xml:space="preserve">Modified Interest Subvention Scheme for Short Term Loans for Agriculture and Allied Activities availed through </w:t>
      </w:r>
      <w:proofErr w:type="spellStart"/>
      <w:r>
        <w:rPr>
          <w:rFonts w:ascii="Arial" w:hAnsi="Arial" w:cs="Arial"/>
          <w:b/>
          <w:bCs/>
          <w:color w:val="000000"/>
          <w:sz w:val="20"/>
          <w:szCs w:val="20"/>
        </w:rPr>
        <w:t>Kisan</w:t>
      </w:r>
      <w:proofErr w:type="spellEnd"/>
      <w:r>
        <w:rPr>
          <w:rFonts w:ascii="Arial" w:hAnsi="Arial" w:cs="Arial"/>
          <w:b/>
          <w:bCs/>
          <w:color w:val="000000"/>
          <w:sz w:val="20"/>
          <w:szCs w:val="20"/>
        </w:rPr>
        <w:t xml:space="preserve"> Credit Card (KCC) during the financial years 2022-23 and 2023-24</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RBI/2022-23/139</w:t>
      </w:r>
      <w:r>
        <w:rPr>
          <w:rFonts w:ascii="Arial" w:hAnsi="Arial" w:cs="Arial"/>
          <w:color w:val="000000"/>
          <w:sz w:val="20"/>
          <w:szCs w:val="20"/>
        </w:rPr>
        <w:br/>
        <w:t>FIDD.CO.FSD.BC.No.13/05.02.001/2022-23</w:t>
      </w:r>
    </w:p>
    <w:p w:rsidR="00642494" w:rsidRDefault="00642494" w:rsidP="00642494">
      <w:pPr>
        <w:pStyle w:val="NormalWeb"/>
        <w:jc w:val="right"/>
        <w:rPr>
          <w:rFonts w:ascii="Arial" w:hAnsi="Arial" w:cs="Arial"/>
          <w:color w:val="000000"/>
          <w:sz w:val="20"/>
          <w:szCs w:val="20"/>
        </w:rPr>
      </w:pPr>
      <w:r>
        <w:rPr>
          <w:rFonts w:ascii="Arial" w:hAnsi="Arial" w:cs="Arial"/>
          <w:color w:val="000000"/>
          <w:sz w:val="20"/>
          <w:szCs w:val="20"/>
        </w:rPr>
        <w:lastRenderedPageBreak/>
        <w:t>November 23, 2022</w:t>
      </w:r>
    </w:p>
    <w:p w:rsidR="00642494" w:rsidRDefault="00642494" w:rsidP="00642494">
      <w:pPr>
        <w:pStyle w:val="NormalWeb"/>
        <w:rPr>
          <w:rFonts w:ascii="Arial" w:hAnsi="Arial" w:cs="Arial"/>
          <w:color w:val="000000"/>
          <w:sz w:val="20"/>
          <w:szCs w:val="20"/>
        </w:rPr>
      </w:pPr>
      <w:r>
        <w:rPr>
          <w:rFonts w:ascii="Arial" w:hAnsi="Arial" w:cs="Arial"/>
          <w:color w:val="000000"/>
          <w:sz w:val="20"/>
          <w:szCs w:val="20"/>
        </w:rPr>
        <w:t>The Chairman/Managing Director/Chief Executive Officer</w:t>
      </w:r>
      <w:r>
        <w:rPr>
          <w:rFonts w:ascii="Arial" w:hAnsi="Arial" w:cs="Arial"/>
          <w:color w:val="000000"/>
          <w:sz w:val="20"/>
          <w:szCs w:val="20"/>
        </w:rPr>
        <w:br/>
        <w:t>All Public Sector Banks, Private Sector Banks and</w:t>
      </w:r>
      <w:r>
        <w:rPr>
          <w:rFonts w:ascii="Arial" w:hAnsi="Arial" w:cs="Arial"/>
          <w:color w:val="000000"/>
          <w:sz w:val="20"/>
          <w:szCs w:val="20"/>
        </w:rPr>
        <w:br/>
        <w:t>Small Finance Banks</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Madam/Dear Sir,</w:t>
      </w:r>
    </w:p>
    <w:p w:rsidR="00642494" w:rsidRDefault="00642494" w:rsidP="00642494">
      <w:pPr>
        <w:pStyle w:val="head"/>
        <w:jc w:val="both"/>
        <w:rPr>
          <w:rFonts w:ascii="Arial" w:hAnsi="Arial" w:cs="Arial"/>
          <w:b/>
          <w:bCs/>
          <w:color w:val="000000"/>
          <w:sz w:val="20"/>
          <w:szCs w:val="20"/>
        </w:rPr>
      </w:pPr>
      <w:r>
        <w:rPr>
          <w:rFonts w:ascii="Arial" w:hAnsi="Arial" w:cs="Arial"/>
          <w:b/>
          <w:bCs/>
          <w:color w:val="000000"/>
          <w:sz w:val="20"/>
          <w:szCs w:val="20"/>
        </w:rPr>
        <w:t xml:space="preserve">Modified Interest Subvention Scheme for Short Term Loans for Agriculture and Allied Activities availed through </w:t>
      </w:r>
      <w:proofErr w:type="spellStart"/>
      <w:r>
        <w:rPr>
          <w:rFonts w:ascii="Arial" w:hAnsi="Arial" w:cs="Arial"/>
          <w:b/>
          <w:bCs/>
          <w:color w:val="000000"/>
          <w:sz w:val="20"/>
          <w:szCs w:val="20"/>
        </w:rPr>
        <w:t>Kisan</w:t>
      </w:r>
      <w:proofErr w:type="spellEnd"/>
      <w:r>
        <w:rPr>
          <w:rFonts w:ascii="Arial" w:hAnsi="Arial" w:cs="Arial"/>
          <w:b/>
          <w:bCs/>
          <w:color w:val="000000"/>
          <w:sz w:val="20"/>
          <w:szCs w:val="20"/>
        </w:rPr>
        <w:t xml:space="preserve"> Credit Card (KCC) during the financial years 2022-23 and 2023-24</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Please refer to our </w:t>
      </w:r>
      <w:hyperlink r:id="rId47" w:tgtFrame="_blank" w:history="1">
        <w:r>
          <w:rPr>
            <w:rStyle w:val="Hyperlink"/>
            <w:rFonts w:ascii="Arial" w:hAnsi="Arial" w:cs="Arial"/>
            <w:sz w:val="20"/>
            <w:szCs w:val="20"/>
          </w:rPr>
          <w:t>circular FIDD.CO.FSD.BC.No.3/05.02.001/2022-23 dated April 28, 2022</w:t>
        </w:r>
      </w:hyperlink>
      <w:r>
        <w:rPr>
          <w:rFonts w:ascii="Arial" w:hAnsi="Arial" w:cs="Arial"/>
          <w:color w:val="000000"/>
          <w:sz w:val="20"/>
          <w:szCs w:val="20"/>
        </w:rPr>
        <w:t> conveying the decision of the Government of India for continuation of the Modified Interest Subvention Scheme for short term loans for agriculture and allied activities for the year 2021-22.</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2. In this regard, it is advised that Government of India has approved the continuation of the Interest Subvention Scheme (ISS) with modification for the financial years 2022-23 and 2023-24 with the following stipulations:</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 xml:space="preserve">(i) In order to provide short term crop loans and short term loans for allied activities including animal husbandry, dairy, fisheries, bee keeping etc. </w:t>
      </w:r>
      <w:proofErr w:type="spellStart"/>
      <w:r>
        <w:rPr>
          <w:rFonts w:ascii="Arial" w:hAnsi="Arial" w:cs="Arial"/>
          <w:color w:val="000000"/>
          <w:sz w:val="20"/>
          <w:szCs w:val="20"/>
        </w:rPr>
        <w:t>upto</w:t>
      </w:r>
      <w:proofErr w:type="spellEnd"/>
      <w:r>
        <w:rPr>
          <w:rFonts w:ascii="Arial" w:hAnsi="Arial" w:cs="Arial"/>
          <w:color w:val="000000"/>
          <w:sz w:val="20"/>
          <w:szCs w:val="20"/>
        </w:rPr>
        <w:t xml:space="preserve"> an overall limit of ₹3 lakh to farmers through KCC at concessional interest rate during the years 2022-23 and 2023-24, it has been decided to provide interest subvention to lending institutions viz. Public Sector Banks (PSBs) and Private Sector Banks (in respect of loans given by their rural and semi-urban branches only), Small Finance Banks (SFBs) and computerized Primary Agriculture Cooperative Societies (PACS) which have been ceded with Scheduled Commercial Banks (SCBs), on use of their own resources. This interest subvention will be calculated on the loan amount from the date of disbursement/</w:t>
      </w:r>
      <w:proofErr w:type="spellStart"/>
      <w:r>
        <w:rPr>
          <w:rFonts w:ascii="Arial" w:hAnsi="Arial" w:cs="Arial"/>
          <w:color w:val="000000"/>
          <w:sz w:val="20"/>
          <w:szCs w:val="20"/>
        </w:rPr>
        <w:t>drawal</w:t>
      </w:r>
      <w:proofErr w:type="spellEnd"/>
      <w:r>
        <w:rPr>
          <w:rFonts w:ascii="Arial" w:hAnsi="Arial" w:cs="Arial"/>
          <w:color w:val="000000"/>
          <w:sz w:val="20"/>
          <w:szCs w:val="20"/>
        </w:rPr>
        <w:t xml:space="preserve"> up to the date of actual repayment of the loan by the farmer or up to the due date of the loan fixed by the banks, whichever is earlier, subject to a maximum period of one year. The applicable lending rate to farmers and the rate of interest subvention for the financial years 2022-23 and 2023-24 will be as follows:</w:t>
      </w:r>
    </w:p>
    <w:tbl>
      <w:tblPr>
        <w:tblW w:w="49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5"/>
        <w:gridCol w:w="2408"/>
        <w:gridCol w:w="4943"/>
      </w:tblGrid>
      <w:tr w:rsidR="00642494" w:rsidTr="007E4525">
        <w:trPr>
          <w:trHeight w:val="418"/>
          <w:jc w:val="center"/>
        </w:trPr>
        <w:tc>
          <w:tcPr>
            <w:tcW w:w="873" w:type="pct"/>
            <w:tcMar>
              <w:top w:w="0" w:type="dxa"/>
              <w:left w:w="45" w:type="dxa"/>
              <w:bottom w:w="0" w:type="dxa"/>
              <w:right w:w="45" w:type="dxa"/>
            </w:tcMar>
            <w:vAlign w:val="center"/>
            <w:hideMark/>
          </w:tcPr>
          <w:p w:rsidR="00642494" w:rsidRDefault="00642494" w:rsidP="007E4525">
            <w:pPr>
              <w:jc w:val="center"/>
              <w:rPr>
                <w:rFonts w:ascii="Arial" w:hAnsi="Arial" w:cs="Arial"/>
                <w:b/>
                <w:bCs/>
                <w:color w:val="000000"/>
                <w:sz w:val="20"/>
                <w:szCs w:val="20"/>
              </w:rPr>
            </w:pPr>
            <w:r>
              <w:rPr>
                <w:rFonts w:ascii="Arial" w:hAnsi="Arial" w:cs="Arial"/>
                <w:b/>
                <w:bCs/>
                <w:color w:val="000000"/>
                <w:sz w:val="20"/>
                <w:szCs w:val="20"/>
              </w:rPr>
              <w:t>Financial Year</w:t>
            </w:r>
          </w:p>
        </w:tc>
        <w:tc>
          <w:tcPr>
            <w:tcW w:w="1352" w:type="pct"/>
            <w:tcMar>
              <w:top w:w="0" w:type="dxa"/>
              <w:left w:w="45" w:type="dxa"/>
              <w:bottom w:w="0" w:type="dxa"/>
              <w:right w:w="45" w:type="dxa"/>
            </w:tcMar>
            <w:vAlign w:val="center"/>
            <w:hideMark/>
          </w:tcPr>
          <w:p w:rsidR="00642494" w:rsidRDefault="00642494" w:rsidP="007E4525">
            <w:pPr>
              <w:jc w:val="center"/>
              <w:rPr>
                <w:rFonts w:ascii="Arial" w:hAnsi="Arial" w:cs="Arial"/>
                <w:b/>
                <w:bCs/>
                <w:color w:val="000000"/>
                <w:sz w:val="20"/>
                <w:szCs w:val="20"/>
              </w:rPr>
            </w:pPr>
            <w:r>
              <w:rPr>
                <w:rFonts w:ascii="Arial" w:hAnsi="Arial" w:cs="Arial"/>
                <w:b/>
                <w:bCs/>
                <w:color w:val="000000"/>
                <w:sz w:val="20"/>
                <w:szCs w:val="20"/>
              </w:rPr>
              <w:t>Lending rate to farmers</w:t>
            </w:r>
          </w:p>
        </w:tc>
        <w:tc>
          <w:tcPr>
            <w:tcW w:w="2775" w:type="pct"/>
            <w:tcMar>
              <w:top w:w="0" w:type="dxa"/>
              <w:left w:w="45" w:type="dxa"/>
              <w:bottom w:w="0" w:type="dxa"/>
              <w:right w:w="45" w:type="dxa"/>
            </w:tcMar>
            <w:vAlign w:val="center"/>
            <w:hideMark/>
          </w:tcPr>
          <w:p w:rsidR="00642494" w:rsidRDefault="00642494" w:rsidP="007E4525">
            <w:pPr>
              <w:jc w:val="center"/>
              <w:rPr>
                <w:rFonts w:ascii="Arial" w:hAnsi="Arial" w:cs="Arial"/>
                <w:b/>
                <w:bCs/>
                <w:color w:val="000000"/>
                <w:sz w:val="20"/>
                <w:szCs w:val="20"/>
              </w:rPr>
            </w:pPr>
            <w:r>
              <w:rPr>
                <w:rFonts w:ascii="Arial" w:hAnsi="Arial" w:cs="Arial"/>
                <w:b/>
                <w:bCs/>
                <w:color w:val="000000"/>
                <w:sz w:val="20"/>
                <w:szCs w:val="20"/>
              </w:rPr>
              <w:t>Rate of Interest Subvention to Lending Institutions</w:t>
            </w:r>
          </w:p>
        </w:tc>
      </w:tr>
      <w:tr w:rsidR="00642494" w:rsidTr="007E4525">
        <w:trPr>
          <w:trHeight w:val="141"/>
          <w:jc w:val="center"/>
        </w:trPr>
        <w:tc>
          <w:tcPr>
            <w:tcW w:w="873" w:type="pct"/>
            <w:tcMar>
              <w:top w:w="0" w:type="dxa"/>
              <w:left w:w="45" w:type="dxa"/>
              <w:bottom w:w="0" w:type="dxa"/>
              <w:right w:w="45" w:type="dxa"/>
            </w:tcMar>
            <w:vAlign w:val="center"/>
            <w:hideMark/>
          </w:tcPr>
          <w:p w:rsidR="00642494" w:rsidRDefault="00642494" w:rsidP="007E4525">
            <w:pPr>
              <w:jc w:val="center"/>
              <w:rPr>
                <w:rFonts w:ascii="Arial" w:hAnsi="Arial" w:cs="Arial"/>
                <w:color w:val="000000"/>
                <w:sz w:val="20"/>
                <w:szCs w:val="20"/>
              </w:rPr>
            </w:pPr>
            <w:r>
              <w:rPr>
                <w:rFonts w:ascii="Arial" w:hAnsi="Arial" w:cs="Arial"/>
                <w:color w:val="000000"/>
                <w:sz w:val="20"/>
                <w:szCs w:val="20"/>
              </w:rPr>
              <w:t>2022-23</w:t>
            </w:r>
          </w:p>
        </w:tc>
        <w:tc>
          <w:tcPr>
            <w:tcW w:w="1352" w:type="pct"/>
            <w:tcMar>
              <w:top w:w="0" w:type="dxa"/>
              <w:left w:w="45" w:type="dxa"/>
              <w:bottom w:w="0" w:type="dxa"/>
              <w:right w:w="45" w:type="dxa"/>
            </w:tcMar>
            <w:vAlign w:val="center"/>
            <w:hideMark/>
          </w:tcPr>
          <w:p w:rsidR="00642494" w:rsidRDefault="00642494" w:rsidP="007E4525">
            <w:pPr>
              <w:jc w:val="center"/>
              <w:rPr>
                <w:rFonts w:ascii="Arial" w:hAnsi="Arial" w:cs="Arial"/>
                <w:color w:val="000000"/>
                <w:sz w:val="20"/>
                <w:szCs w:val="20"/>
              </w:rPr>
            </w:pPr>
            <w:r>
              <w:rPr>
                <w:rFonts w:ascii="Arial" w:hAnsi="Arial" w:cs="Arial"/>
                <w:color w:val="000000"/>
                <w:sz w:val="20"/>
                <w:szCs w:val="20"/>
              </w:rPr>
              <w:t>7%</w:t>
            </w:r>
          </w:p>
        </w:tc>
        <w:tc>
          <w:tcPr>
            <w:tcW w:w="2775" w:type="pct"/>
            <w:tcMar>
              <w:top w:w="0" w:type="dxa"/>
              <w:left w:w="45" w:type="dxa"/>
              <w:bottom w:w="0" w:type="dxa"/>
              <w:right w:w="45" w:type="dxa"/>
            </w:tcMar>
            <w:vAlign w:val="center"/>
            <w:hideMark/>
          </w:tcPr>
          <w:p w:rsidR="00642494" w:rsidRDefault="00642494" w:rsidP="007E4525">
            <w:pPr>
              <w:jc w:val="center"/>
              <w:rPr>
                <w:rFonts w:ascii="Arial" w:hAnsi="Arial" w:cs="Arial"/>
                <w:color w:val="000000"/>
                <w:sz w:val="20"/>
                <w:szCs w:val="20"/>
              </w:rPr>
            </w:pPr>
            <w:r>
              <w:rPr>
                <w:rFonts w:ascii="Arial" w:hAnsi="Arial" w:cs="Arial"/>
                <w:color w:val="000000"/>
                <w:sz w:val="20"/>
                <w:szCs w:val="20"/>
              </w:rPr>
              <w:t>1.50%</w:t>
            </w:r>
          </w:p>
        </w:tc>
      </w:tr>
      <w:tr w:rsidR="00642494" w:rsidTr="007E4525">
        <w:trPr>
          <w:trHeight w:val="202"/>
          <w:jc w:val="center"/>
        </w:trPr>
        <w:tc>
          <w:tcPr>
            <w:tcW w:w="873" w:type="pct"/>
            <w:tcMar>
              <w:top w:w="0" w:type="dxa"/>
              <w:left w:w="45" w:type="dxa"/>
              <w:bottom w:w="0" w:type="dxa"/>
              <w:right w:w="45" w:type="dxa"/>
            </w:tcMar>
            <w:vAlign w:val="center"/>
            <w:hideMark/>
          </w:tcPr>
          <w:p w:rsidR="00642494" w:rsidRDefault="00642494" w:rsidP="007E4525">
            <w:pPr>
              <w:jc w:val="center"/>
              <w:rPr>
                <w:rFonts w:ascii="Arial" w:hAnsi="Arial" w:cs="Arial"/>
                <w:color w:val="000000"/>
                <w:sz w:val="20"/>
                <w:szCs w:val="20"/>
              </w:rPr>
            </w:pPr>
            <w:r>
              <w:rPr>
                <w:rFonts w:ascii="Arial" w:hAnsi="Arial" w:cs="Arial"/>
                <w:color w:val="000000"/>
                <w:sz w:val="20"/>
                <w:szCs w:val="20"/>
              </w:rPr>
              <w:t>2023-24</w:t>
            </w:r>
          </w:p>
        </w:tc>
        <w:tc>
          <w:tcPr>
            <w:tcW w:w="1352" w:type="pct"/>
            <w:tcMar>
              <w:top w:w="0" w:type="dxa"/>
              <w:left w:w="45" w:type="dxa"/>
              <w:bottom w:w="0" w:type="dxa"/>
              <w:right w:w="45" w:type="dxa"/>
            </w:tcMar>
            <w:vAlign w:val="center"/>
            <w:hideMark/>
          </w:tcPr>
          <w:p w:rsidR="00642494" w:rsidRDefault="00642494" w:rsidP="007E4525">
            <w:pPr>
              <w:jc w:val="center"/>
              <w:rPr>
                <w:rFonts w:ascii="Arial" w:hAnsi="Arial" w:cs="Arial"/>
                <w:color w:val="000000"/>
                <w:sz w:val="20"/>
                <w:szCs w:val="20"/>
              </w:rPr>
            </w:pPr>
            <w:r>
              <w:rPr>
                <w:rFonts w:ascii="Arial" w:hAnsi="Arial" w:cs="Arial"/>
                <w:color w:val="000000"/>
                <w:sz w:val="20"/>
                <w:szCs w:val="20"/>
              </w:rPr>
              <w:t>7%</w:t>
            </w:r>
          </w:p>
        </w:tc>
        <w:tc>
          <w:tcPr>
            <w:tcW w:w="2775" w:type="pct"/>
            <w:tcMar>
              <w:top w:w="0" w:type="dxa"/>
              <w:left w:w="45" w:type="dxa"/>
              <w:bottom w:w="0" w:type="dxa"/>
              <w:right w:w="45" w:type="dxa"/>
            </w:tcMar>
            <w:vAlign w:val="center"/>
            <w:hideMark/>
          </w:tcPr>
          <w:p w:rsidR="00642494" w:rsidRDefault="00642494" w:rsidP="007E4525">
            <w:pPr>
              <w:jc w:val="center"/>
              <w:rPr>
                <w:rFonts w:ascii="Arial" w:hAnsi="Arial" w:cs="Arial"/>
                <w:color w:val="000000"/>
                <w:sz w:val="20"/>
                <w:szCs w:val="20"/>
              </w:rPr>
            </w:pPr>
            <w:r>
              <w:rPr>
                <w:rFonts w:ascii="Arial" w:hAnsi="Arial" w:cs="Arial"/>
                <w:color w:val="000000"/>
                <w:sz w:val="20"/>
                <w:szCs w:val="20"/>
              </w:rPr>
              <w:t>1.50%</w:t>
            </w:r>
          </w:p>
        </w:tc>
      </w:tr>
    </w:tbl>
    <w:p w:rsidR="00642494" w:rsidRDefault="00642494" w:rsidP="00642494">
      <w:pPr>
        <w:pStyle w:val="NormalWeb"/>
        <w:spacing w:after="0" w:afterAutospacing="0"/>
        <w:jc w:val="both"/>
        <w:rPr>
          <w:rFonts w:ascii="Arial" w:hAnsi="Arial" w:cs="Arial"/>
          <w:color w:val="000000"/>
          <w:sz w:val="20"/>
          <w:szCs w:val="20"/>
        </w:rPr>
      </w:pPr>
      <w:r>
        <w:rPr>
          <w:rFonts w:ascii="Arial" w:hAnsi="Arial" w:cs="Arial"/>
          <w:color w:val="000000"/>
          <w:sz w:val="20"/>
          <w:szCs w:val="20"/>
        </w:rPr>
        <w:t>Yours faithfully,</w:t>
      </w:r>
    </w:p>
    <w:p w:rsidR="00642494" w:rsidRDefault="00642494" w:rsidP="00642494">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Nisha</w:t>
      </w:r>
      <w:proofErr w:type="spellEnd"/>
      <w:r>
        <w:rPr>
          <w:rFonts w:ascii="Arial" w:hAnsi="Arial" w:cs="Arial"/>
          <w:color w:val="000000"/>
          <w:sz w:val="20"/>
          <w:szCs w:val="20"/>
        </w:rPr>
        <w:t xml:space="preserve"> </w:t>
      </w:r>
      <w:proofErr w:type="spellStart"/>
      <w:r>
        <w:rPr>
          <w:rFonts w:ascii="Arial" w:hAnsi="Arial" w:cs="Arial"/>
          <w:color w:val="000000"/>
          <w:sz w:val="20"/>
          <w:szCs w:val="20"/>
        </w:rPr>
        <w:t>Nambiar</w:t>
      </w:r>
      <w:proofErr w:type="spellEnd"/>
      <w:r>
        <w:rPr>
          <w:rFonts w:ascii="Arial" w:hAnsi="Arial" w:cs="Arial"/>
          <w:color w:val="000000"/>
          <w:sz w:val="20"/>
          <w:szCs w:val="20"/>
        </w:rPr>
        <w:t>)</w:t>
      </w:r>
      <w:r>
        <w:rPr>
          <w:rFonts w:ascii="Arial" w:hAnsi="Arial" w:cs="Arial"/>
          <w:color w:val="000000"/>
          <w:sz w:val="20"/>
          <w:szCs w:val="20"/>
        </w:rPr>
        <w:br/>
        <w:t>Chief General Manager</w:t>
      </w:r>
    </w:p>
    <w:p w:rsidR="00642494" w:rsidRDefault="00642494" w:rsidP="00642494">
      <w:pPr>
        <w:pStyle w:val="NormalWeb"/>
        <w:rPr>
          <w:rFonts w:ascii="Arial" w:hAnsi="Arial" w:cs="Arial"/>
          <w:b/>
          <w:color w:val="000000"/>
          <w:sz w:val="20"/>
          <w:szCs w:val="20"/>
        </w:rPr>
      </w:pPr>
    </w:p>
    <w:p w:rsidR="00642494" w:rsidRDefault="00642494" w:rsidP="00642494">
      <w:pPr>
        <w:pStyle w:val="NormalWeb"/>
        <w:rPr>
          <w:rFonts w:ascii="Arial" w:hAnsi="Arial" w:cs="Arial"/>
          <w:b/>
          <w:color w:val="000000"/>
          <w:sz w:val="20"/>
          <w:szCs w:val="20"/>
        </w:rPr>
      </w:pPr>
    </w:p>
    <w:p w:rsidR="00642494" w:rsidRDefault="00642494" w:rsidP="00642494">
      <w:r>
        <w:t>More details can be referred to in the below link.</w:t>
      </w:r>
    </w:p>
    <w:p w:rsidR="00642494" w:rsidRDefault="00642494" w:rsidP="00642494">
      <w:pPr>
        <w:spacing w:line="259" w:lineRule="auto"/>
        <w:rPr>
          <w:rStyle w:val="Hyperlink"/>
          <w:rFonts w:ascii="Arial" w:hAnsi="Arial" w:cs="Arial"/>
          <w:bCs/>
          <w:sz w:val="20"/>
          <w:szCs w:val="20"/>
        </w:rPr>
      </w:pPr>
      <w:r>
        <w:rPr>
          <w:rFonts w:ascii="Arial" w:hAnsi="Arial" w:cs="Arial"/>
          <w:bCs/>
          <w:color w:val="000000"/>
          <w:sz w:val="20"/>
          <w:szCs w:val="20"/>
        </w:rPr>
        <w:t xml:space="preserve">Reference Link: </w:t>
      </w:r>
      <w:hyperlink r:id="rId48" w:history="1">
        <w:r w:rsidRPr="006865D6">
          <w:rPr>
            <w:rStyle w:val="Hyperlink"/>
            <w:rFonts w:ascii="Arial" w:hAnsi="Arial" w:cs="Arial"/>
            <w:bCs/>
            <w:sz w:val="20"/>
            <w:szCs w:val="20"/>
          </w:rPr>
          <w:t>https://www.rbi.org.in/scripts/NotificationUser.aspx?Id=12411&amp;Mode=0</w:t>
        </w:r>
      </w:hyperlink>
    </w:p>
    <w:p w:rsidR="00642494" w:rsidRDefault="00642494" w:rsidP="00642494">
      <w:pPr>
        <w:pStyle w:val="NormalWeb"/>
        <w:rPr>
          <w:rFonts w:ascii="Arial" w:hAnsi="Arial" w:cs="Arial"/>
          <w:b/>
          <w:bCs/>
          <w:color w:val="000000"/>
          <w:sz w:val="20"/>
          <w:szCs w:val="20"/>
        </w:rPr>
      </w:pPr>
      <w:r>
        <w:rPr>
          <w:rFonts w:ascii="Arial" w:hAnsi="Arial" w:cs="Arial"/>
          <w:b/>
          <w:bCs/>
          <w:color w:val="000000"/>
          <w:sz w:val="20"/>
          <w:szCs w:val="20"/>
        </w:rPr>
        <w:t>Inclusion of Goods and Service Tax Network (GSTN) as a Financial Information Provider under Account Aggregator Framework</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RBI/2022-23/140</w:t>
      </w:r>
      <w:r>
        <w:rPr>
          <w:rFonts w:ascii="Arial" w:hAnsi="Arial" w:cs="Arial"/>
          <w:color w:val="000000"/>
          <w:sz w:val="20"/>
          <w:szCs w:val="20"/>
        </w:rPr>
        <w:br/>
        <w:t>DoR.FIN.REC.82/03.10.123/2022-23</w:t>
      </w:r>
    </w:p>
    <w:p w:rsidR="00642494" w:rsidRDefault="00642494" w:rsidP="00642494">
      <w:pPr>
        <w:pStyle w:val="NormalWeb"/>
        <w:jc w:val="right"/>
        <w:rPr>
          <w:rFonts w:ascii="Arial" w:hAnsi="Arial" w:cs="Arial"/>
          <w:color w:val="000000"/>
          <w:sz w:val="20"/>
          <w:szCs w:val="20"/>
        </w:rPr>
      </w:pPr>
      <w:r>
        <w:rPr>
          <w:rFonts w:ascii="Arial" w:hAnsi="Arial" w:cs="Arial"/>
          <w:color w:val="000000"/>
          <w:sz w:val="20"/>
          <w:szCs w:val="20"/>
        </w:rPr>
        <w:lastRenderedPageBreak/>
        <w:t>November 23, 2022</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To All Regulated Entities of the Bank</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Madam/Dear Sir,</w:t>
      </w:r>
    </w:p>
    <w:p w:rsidR="00642494" w:rsidRDefault="00642494" w:rsidP="00642494">
      <w:pPr>
        <w:pStyle w:val="head"/>
        <w:jc w:val="both"/>
        <w:rPr>
          <w:rFonts w:ascii="Arial" w:hAnsi="Arial" w:cs="Arial"/>
          <w:b/>
          <w:bCs/>
          <w:color w:val="000000"/>
          <w:sz w:val="20"/>
          <w:szCs w:val="20"/>
        </w:rPr>
      </w:pPr>
      <w:r>
        <w:rPr>
          <w:rFonts w:ascii="Arial" w:hAnsi="Arial" w:cs="Arial"/>
          <w:b/>
          <w:bCs/>
          <w:color w:val="000000"/>
          <w:sz w:val="20"/>
          <w:szCs w:val="20"/>
        </w:rPr>
        <w:t>Inclusion of Goods and Service Tax Network (GSTN) as a Financial Information Provider under Account Aggregator Framework</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49" w:tgtFrame="_blank" w:history="1">
        <w:r>
          <w:rPr>
            <w:rStyle w:val="Hyperlink"/>
            <w:rFonts w:ascii="Arial" w:hAnsi="Arial" w:cs="Arial"/>
            <w:sz w:val="20"/>
            <w:szCs w:val="20"/>
          </w:rPr>
          <w:t>Master Direction – Non-Banking Financial Company - Account Aggregator (Reserve Bank) Directions, 2016 dated September 02, 2016</w:t>
        </w:r>
      </w:hyperlink>
      <w:r>
        <w:rPr>
          <w:rFonts w:ascii="Arial" w:hAnsi="Arial" w:cs="Arial"/>
          <w:color w:val="000000"/>
          <w:sz w:val="20"/>
          <w:szCs w:val="20"/>
        </w:rPr>
        <w:t>.</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2. With a view to facilitate cash flow-based lending to MSMEs, it has been decided to include Goods and Services Tax Network (GSTN) as a Financial Information Provider (FIP) under the Account Aggregator (AA) framework. Department of Revenue shall be the regulator of GSTN for this specific purpose and Goods and Services Tax (GST) Returns, viz. Form GSTR-1 and Form GSTR-3B, shall be the Financial Information.</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3. Accordingly, the select instructions contained in the Master Direction referred to above have been amended, as detailed in the </w:t>
      </w:r>
      <w:hyperlink r:id="rId50" w:anchor="AN1" w:history="1">
        <w:r>
          <w:rPr>
            <w:rStyle w:val="Hyperlink"/>
            <w:rFonts w:ascii="Arial" w:hAnsi="Arial" w:cs="Arial"/>
            <w:sz w:val="20"/>
            <w:szCs w:val="20"/>
          </w:rPr>
          <w:t>Annex</w:t>
        </w:r>
      </w:hyperlink>
      <w:r>
        <w:rPr>
          <w:rFonts w:ascii="Arial" w:hAnsi="Arial" w:cs="Arial"/>
          <w:color w:val="000000"/>
          <w:sz w:val="20"/>
          <w:szCs w:val="20"/>
        </w:rPr>
        <w:t>.</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Yours faithfully,</w:t>
      </w:r>
    </w:p>
    <w:p w:rsidR="00642494" w:rsidRDefault="00642494" w:rsidP="00642494">
      <w:pPr>
        <w:pStyle w:val="NormalWeb"/>
        <w:rPr>
          <w:rFonts w:ascii="Arial" w:hAnsi="Arial" w:cs="Arial"/>
          <w:color w:val="000000"/>
          <w:sz w:val="20"/>
          <w:szCs w:val="20"/>
        </w:rPr>
      </w:pPr>
      <w:r>
        <w:rPr>
          <w:rFonts w:ascii="Arial" w:hAnsi="Arial" w:cs="Arial"/>
          <w:color w:val="000000"/>
          <w:sz w:val="20"/>
          <w:szCs w:val="20"/>
        </w:rPr>
        <w:t>(J.P. Sharma)</w:t>
      </w:r>
      <w:r>
        <w:rPr>
          <w:rFonts w:ascii="Arial" w:hAnsi="Arial" w:cs="Arial"/>
          <w:color w:val="000000"/>
          <w:sz w:val="20"/>
          <w:szCs w:val="20"/>
        </w:rPr>
        <w:br/>
        <w:t>Chief General Manager</w:t>
      </w:r>
    </w:p>
    <w:p w:rsidR="00642494" w:rsidRDefault="00642494" w:rsidP="00642494">
      <w:pPr>
        <w:pStyle w:val="NormalWeb"/>
        <w:rPr>
          <w:rFonts w:ascii="Arial" w:hAnsi="Arial" w:cs="Arial"/>
          <w:b/>
          <w:color w:val="000000"/>
          <w:sz w:val="20"/>
          <w:szCs w:val="20"/>
        </w:rPr>
      </w:pPr>
    </w:p>
    <w:p w:rsidR="00642494" w:rsidRDefault="00642494" w:rsidP="00642494"/>
    <w:p w:rsidR="00642494" w:rsidRDefault="00642494" w:rsidP="00642494">
      <w:r>
        <w:t>More details can be referred to in the below link.</w:t>
      </w:r>
    </w:p>
    <w:p w:rsidR="00642494" w:rsidRDefault="00642494" w:rsidP="00642494">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51" w:history="1">
        <w:r w:rsidRPr="006865D6">
          <w:rPr>
            <w:rStyle w:val="Hyperlink"/>
            <w:rFonts w:ascii="Arial" w:hAnsi="Arial" w:cs="Arial"/>
            <w:bCs/>
            <w:sz w:val="20"/>
            <w:szCs w:val="20"/>
          </w:rPr>
          <w:t>https://www.rbi.org.in/scripts/NotificationUser.aspx?Id=12412&amp;Mode=0</w:t>
        </w:r>
      </w:hyperlink>
    </w:p>
    <w:p w:rsidR="00642494" w:rsidRDefault="00642494" w:rsidP="00642494">
      <w:pPr>
        <w:pStyle w:val="NormalWeb"/>
        <w:rPr>
          <w:rFonts w:ascii="Arial" w:hAnsi="Arial" w:cs="Arial"/>
          <w:bCs/>
          <w:color w:val="000000"/>
          <w:sz w:val="20"/>
          <w:szCs w:val="20"/>
        </w:rPr>
      </w:pPr>
    </w:p>
    <w:p w:rsidR="00642494" w:rsidRDefault="00642494" w:rsidP="00642494">
      <w:pPr>
        <w:pStyle w:val="NormalWeb"/>
        <w:rPr>
          <w:rFonts w:ascii="Arial" w:hAnsi="Arial" w:cs="Arial"/>
          <w:bCs/>
          <w:color w:val="000000"/>
          <w:sz w:val="20"/>
          <w:szCs w:val="20"/>
        </w:rPr>
      </w:pPr>
    </w:p>
    <w:p w:rsidR="00642494" w:rsidRDefault="00642494" w:rsidP="00642494">
      <w:pPr>
        <w:pStyle w:val="NormalWeb"/>
        <w:rPr>
          <w:rFonts w:ascii="Arial" w:hAnsi="Arial" w:cs="Arial"/>
          <w:bCs/>
          <w:color w:val="000000"/>
          <w:sz w:val="20"/>
          <w:szCs w:val="20"/>
        </w:rPr>
      </w:pPr>
    </w:p>
    <w:p w:rsidR="00642494" w:rsidRDefault="00642494" w:rsidP="00642494">
      <w:pPr>
        <w:pStyle w:val="NormalWeb"/>
        <w:rPr>
          <w:rFonts w:ascii="Arial" w:hAnsi="Arial" w:cs="Arial"/>
          <w:bCs/>
          <w:color w:val="000000"/>
          <w:sz w:val="20"/>
          <w:szCs w:val="20"/>
        </w:rPr>
      </w:pPr>
    </w:p>
    <w:p w:rsidR="00642494" w:rsidRDefault="00642494" w:rsidP="00642494">
      <w:pPr>
        <w:pStyle w:val="NormalWeb"/>
        <w:rPr>
          <w:rFonts w:ascii="Arial" w:hAnsi="Arial" w:cs="Arial"/>
          <w:bCs/>
          <w:color w:val="000000"/>
          <w:sz w:val="20"/>
          <w:szCs w:val="20"/>
        </w:rPr>
      </w:pPr>
    </w:p>
    <w:p w:rsidR="00642494" w:rsidRDefault="00642494" w:rsidP="00642494">
      <w:pPr>
        <w:pStyle w:val="NormalWeb"/>
        <w:rPr>
          <w:rFonts w:ascii="Arial" w:hAnsi="Arial" w:cs="Arial"/>
          <w:bCs/>
          <w:color w:val="000000"/>
          <w:sz w:val="20"/>
          <w:szCs w:val="20"/>
        </w:rPr>
      </w:pPr>
    </w:p>
    <w:p w:rsidR="00642494" w:rsidRDefault="00642494" w:rsidP="00642494">
      <w:pPr>
        <w:pStyle w:val="NormalWeb"/>
        <w:rPr>
          <w:rFonts w:ascii="Arial" w:hAnsi="Arial" w:cs="Arial"/>
          <w:bCs/>
          <w:color w:val="000000"/>
          <w:sz w:val="20"/>
          <w:szCs w:val="20"/>
        </w:rPr>
      </w:pPr>
    </w:p>
    <w:p w:rsidR="00642494" w:rsidRDefault="00642494" w:rsidP="00642494">
      <w:pPr>
        <w:pStyle w:val="NormalWeb"/>
        <w:rPr>
          <w:rFonts w:ascii="Arial" w:hAnsi="Arial" w:cs="Arial"/>
          <w:bCs/>
          <w:color w:val="000000"/>
          <w:sz w:val="20"/>
          <w:szCs w:val="20"/>
        </w:rPr>
      </w:pPr>
    </w:p>
    <w:p w:rsidR="00642494" w:rsidRDefault="00642494" w:rsidP="00642494">
      <w:pPr>
        <w:spacing w:after="0"/>
        <w:rPr>
          <w:rFonts w:ascii="Arial" w:hAnsi="Arial" w:cs="Arial"/>
          <w:b/>
          <w:bCs/>
          <w:color w:val="000000"/>
          <w:sz w:val="20"/>
          <w:szCs w:val="20"/>
        </w:rPr>
      </w:pPr>
      <w:r>
        <w:rPr>
          <w:rFonts w:ascii="Arial" w:hAnsi="Arial" w:cs="Arial"/>
          <w:b/>
          <w:bCs/>
          <w:color w:val="000000"/>
          <w:sz w:val="20"/>
          <w:szCs w:val="20"/>
        </w:rPr>
        <w:t>Data Format for Furnishing of Credit Information to Credit Information Companies and other Regulatory Measures</w:t>
      </w:r>
    </w:p>
    <w:p w:rsidR="00642494" w:rsidRDefault="00642494" w:rsidP="00642494">
      <w:pPr>
        <w:spacing w:after="0"/>
        <w:rPr>
          <w:rFonts w:ascii="Arial" w:hAnsi="Arial" w:cs="Arial"/>
          <w:b/>
          <w:bCs/>
          <w:color w:val="000000"/>
          <w:sz w:val="20"/>
          <w:szCs w:val="20"/>
        </w:rPr>
      </w:pP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lastRenderedPageBreak/>
        <w:t>RBI/2022-23/154</w:t>
      </w:r>
      <w:r>
        <w:rPr>
          <w:rFonts w:ascii="Arial" w:hAnsi="Arial" w:cs="Arial"/>
          <w:color w:val="000000"/>
          <w:sz w:val="20"/>
          <w:szCs w:val="20"/>
        </w:rPr>
        <w:br/>
        <w:t>DoR.FIN.REC.90/20.16.056/2022-23</w:t>
      </w:r>
    </w:p>
    <w:p w:rsidR="00642494" w:rsidRDefault="00642494" w:rsidP="00642494">
      <w:pPr>
        <w:pStyle w:val="NormalWeb"/>
        <w:jc w:val="right"/>
        <w:rPr>
          <w:rFonts w:ascii="Arial" w:hAnsi="Arial" w:cs="Arial"/>
          <w:color w:val="000000"/>
          <w:sz w:val="20"/>
          <w:szCs w:val="20"/>
        </w:rPr>
      </w:pPr>
      <w:r>
        <w:rPr>
          <w:rFonts w:ascii="Arial" w:hAnsi="Arial" w:cs="Arial"/>
          <w:color w:val="000000"/>
          <w:sz w:val="20"/>
          <w:szCs w:val="20"/>
        </w:rPr>
        <w:t>December 13, 2022</w:t>
      </w:r>
    </w:p>
    <w:p w:rsidR="00642494" w:rsidRDefault="00642494" w:rsidP="00642494">
      <w:pPr>
        <w:pStyle w:val="NormalWeb"/>
        <w:rPr>
          <w:rFonts w:ascii="Arial" w:hAnsi="Arial" w:cs="Arial"/>
          <w:color w:val="000000"/>
          <w:sz w:val="20"/>
          <w:szCs w:val="20"/>
        </w:rPr>
      </w:pPr>
      <w:r>
        <w:rPr>
          <w:rFonts w:ascii="Arial" w:hAnsi="Arial" w:cs="Arial"/>
          <w:color w:val="000000"/>
          <w:sz w:val="20"/>
          <w:szCs w:val="20"/>
        </w:rPr>
        <w:t>All Commercial Banks (including Small Finance Banks, Local Area Banks and Regional Rural Banks)</w:t>
      </w:r>
      <w:r>
        <w:rPr>
          <w:rFonts w:ascii="Arial" w:hAnsi="Arial" w:cs="Arial"/>
          <w:color w:val="000000"/>
          <w:sz w:val="20"/>
          <w:szCs w:val="20"/>
        </w:rPr>
        <w:br/>
        <w:t>All Primary (Urban) Co-operative Banks/State Co-operative Banks/District Central Co-operative Banks</w:t>
      </w:r>
      <w:r>
        <w:rPr>
          <w:rFonts w:ascii="Arial" w:hAnsi="Arial" w:cs="Arial"/>
          <w:color w:val="000000"/>
          <w:sz w:val="20"/>
          <w:szCs w:val="20"/>
        </w:rPr>
        <w:br/>
        <w:t xml:space="preserve">All-India Financial Institutions (Exim Bank, NABARD, NHB, SIDBI and </w:t>
      </w:r>
      <w:proofErr w:type="spellStart"/>
      <w:r>
        <w:rPr>
          <w:rFonts w:ascii="Arial" w:hAnsi="Arial" w:cs="Arial"/>
          <w:color w:val="000000"/>
          <w:sz w:val="20"/>
          <w:szCs w:val="20"/>
        </w:rPr>
        <w:t>NaBFID</w:t>
      </w:r>
      <w:proofErr w:type="spellEnd"/>
      <w:r>
        <w:rPr>
          <w:rFonts w:ascii="Arial" w:hAnsi="Arial" w:cs="Arial"/>
          <w:color w:val="000000"/>
          <w:sz w:val="20"/>
          <w:szCs w:val="20"/>
        </w:rPr>
        <w:t>)</w:t>
      </w:r>
      <w:r>
        <w:rPr>
          <w:rFonts w:ascii="Arial" w:hAnsi="Arial" w:cs="Arial"/>
          <w:color w:val="000000"/>
          <w:sz w:val="20"/>
          <w:szCs w:val="20"/>
        </w:rPr>
        <w:br/>
        <w:t>All Non-Banking Financial Companies (including Housing Finance Companies)</w:t>
      </w:r>
      <w:r>
        <w:rPr>
          <w:rFonts w:ascii="Arial" w:hAnsi="Arial" w:cs="Arial"/>
          <w:color w:val="000000"/>
          <w:sz w:val="20"/>
          <w:szCs w:val="20"/>
        </w:rPr>
        <w:br/>
        <w:t>All Credit Information Companies</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Madam/Dear Sir,</w:t>
      </w:r>
    </w:p>
    <w:p w:rsidR="00642494" w:rsidRDefault="00642494" w:rsidP="00642494">
      <w:pPr>
        <w:pStyle w:val="head"/>
        <w:jc w:val="both"/>
        <w:rPr>
          <w:rFonts w:ascii="Arial" w:hAnsi="Arial" w:cs="Arial"/>
          <w:b/>
          <w:bCs/>
          <w:color w:val="000000"/>
          <w:sz w:val="20"/>
          <w:szCs w:val="20"/>
        </w:rPr>
      </w:pPr>
      <w:r>
        <w:rPr>
          <w:rFonts w:ascii="Arial" w:hAnsi="Arial" w:cs="Arial"/>
          <w:b/>
          <w:bCs/>
          <w:color w:val="000000"/>
          <w:sz w:val="20"/>
          <w:szCs w:val="20"/>
        </w:rPr>
        <w:t>Data Format for Furnishing of Credit Information to Credit Information Companies and other Regulatory Measures</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52" w:tgtFrame="_blank" w:history="1">
        <w:r>
          <w:rPr>
            <w:rStyle w:val="Hyperlink"/>
            <w:rFonts w:ascii="Arial" w:hAnsi="Arial" w:cs="Arial"/>
            <w:sz w:val="20"/>
            <w:szCs w:val="20"/>
          </w:rPr>
          <w:t>circular DBOD.No.CID.BC.127/20.16.056/2013-14 dated June 27, 2014</w:t>
        </w:r>
      </w:hyperlink>
      <w:r>
        <w:rPr>
          <w:rFonts w:ascii="Arial" w:hAnsi="Arial" w:cs="Arial"/>
          <w:color w:val="000000"/>
          <w:sz w:val="20"/>
          <w:szCs w:val="20"/>
        </w:rPr>
        <w:t>, inter alia setting out a Uniform Credit Reporting Format for reporting credit information to the Credit Information Companies (CICs).</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2. It is clarified that cases admitted with National Company Law Tribunal (NCLT)/National Company Law Appellate Tribunal (NCLAT) under the Insolvency and Bankruptcy Code, 2016 are also required to be reported under the suit-filed cases in reporting to the CICs.</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3. Credit Institutions (CIs) shall ensure implementation of this circular latest by February 28, 2023.</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Yours faithfully</w:t>
      </w:r>
    </w:p>
    <w:p w:rsidR="00642494" w:rsidRDefault="00642494" w:rsidP="00642494">
      <w:pPr>
        <w:pStyle w:val="NormalWeb"/>
        <w:rPr>
          <w:rFonts w:ascii="Arial" w:hAnsi="Arial" w:cs="Arial"/>
          <w:color w:val="000000"/>
          <w:sz w:val="20"/>
          <w:szCs w:val="20"/>
        </w:rPr>
      </w:pPr>
      <w:r>
        <w:rPr>
          <w:rFonts w:ascii="Arial" w:hAnsi="Arial" w:cs="Arial"/>
          <w:color w:val="000000"/>
          <w:sz w:val="20"/>
          <w:szCs w:val="20"/>
        </w:rPr>
        <w:t>(J.P. Sharma)</w:t>
      </w:r>
      <w:r>
        <w:rPr>
          <w:rFonts w:ascii="Arial" w:hAnsi="Arial" w:cs="Arial"/>
          <w:color w:val="000000"/>
          <w:sz w:val="20"/>
          <w:szCs w:val="20"/>
        </w:rPr>
        <w:br/>
        <w:t>Chief General Manager</w:t>
      </w:r>
    </w:p>
    <w:p w:rsidR="00642494" w:rsidRDefault="00642494" w:rsidP="00642494">
      <w:pPr>
        <w:spacing w:after="0"/>
        <w:rPr>
          <w:rFonts w:ascii="Arial" w:hAnsi="Arial" w:cs="Arial"/>
          <w:sz w:val="20"/>
          <w:szCs w:val="20"/>
        </w:rPr>
      </w:pPr>
    </w:p>
    <w:p w:rsidR="00642494" w:rsidRDefault="00642494" w:rsidP="00642494">
      <w:pPr>
        <w:spacing w:after="0"/>
        <w:rPr>
          <w:rFonts w:ascii="Arial" w:hAnsi="Arial" w:cs="Arial"/>
          <w:sz w:val="20"/>
          <w:szCs w:val="20"/>
        </w:rPr>
      </w:pPr>
    </w:p>
    <w:p w:rsidR="00642494" w:rsidRDefault="00642494" w:rsidP="00642494">
      <w:pPr>
        <w:spacing w:after="0"/>
        <w:rPr>
          <w:rFonts w:ascii="Arial" w:hAnsi="Arial" w:cs="Arial"/>
          <w:sz w:val="20"/>
          <w:szCs w:val="20"/>
        </w:rPr>
      </w:pPr>
    </w:p>
    <w:p w:rsidR="00642494" w:rsidRDefault="00642494" w:rsidP="00642494">
      <w:pPr>
        <w:spacing w:after="0"/>
        <w:rPr>
          <w:rFonts w:ascii="Arial" w:hAnsi="Arial" w:cs="Arial"/>
          <w:sz w:val="20"/>
          <w:szCs w:val="20"/>
        </w:rPr>
      </w:pPr>
      <w:r w:rsidRPr="00435B25">
        <w:rPr>
          <w:rFonts w:ascii="Arial" w:hAnsi="Arial" w:cs="Arial"/>
          <w:sz w:val="20"/>
          <w:szCs w:val="20"/>
        </w:rPr>
        <w:t>More details can be referred to in the below link.</w:t>
      </w:r>
    </w:p>
    <w:p w:rsidR="00642494" w:rsidRDefault="00642494" w:rsidP="00642494">
      <w:pPr>
        <w:spacing w:after="0"/>
        <w:rPr>
          <w:rFonts w:ascii="Arial" w:hAnsi="Arial" w:cs="Arial"/>
          <w:sz w:val="20"/>
          <w:szCs w:val="20"/>
        </w:rPr>
      </w:pPr>
      <w:r w:rsidRPr="00435B25">
        <w:rPr>
          <w:rFonts w:ascii="Arial" w:hAnsi="Arial" w:cs="Arial"/>
          <w:sz w:val="20"/>
          <w:szCs w:val="20"/>
        </w:rPr>
        <w:t>Reference Link:</w:t>
      </w:r>
      <w:r>
        <w:rPr>
          <w:rFonts w:ascii="Arial" w:hAnsi="Arial" w:cs="Arial"/>
          <w:sz w:val="20"/>
          <w:szCs w:val="20"/>
        </w:rPr>
        <w:t xml:space="preserve"> </w:t>
      </w:r>
      <w:hyperlink r:id="rId53" w:history="1">
        <w:r w:rsidRPr="006865D6">
          <w:rPr>
            <w:rStyle w:val="Hyperlink"/>
            <w:rFonts w:ascii="Arial" w:hAnsi="Arial" w:cs="Arial"/>
            <w:sz w:val="20"/>
            <w:szCs w:val="20"/>
          </w:rPr>
          <w:t>https://m.rbi.org.in/scripts/BS_CircularIndexDisplay.aspx?Id=12425</w:t>
        </w:r>
      </w:hyperlink>
    </w:p>
    <w:p w:rsidR="00642494" w:rsidRDefault="00642494" w:rsidP="00642494">
      <w:pPr>
        <w:spacing w:line="259" w:lineRule="auto"/>
        <w:rPr>
          <w:rFonts w:ascii="Arial" w:hAnsi="Arial" w:cs="Arial"/>
          <w:b/>
          <w:bCs/>
          <w:color w:val="000000"/>
          <w:sz w:val="20"/>
          <w:szCs w:val="20"/>
        </w:rPr>
      </w:pPr>
    </w:p>
    <w:p w:rsidR="00642494" w:rsidRDefault="00642494" w:rsidP="00642494">
      <w:pPr>
        <w:spacing w:line="259" w:lineRule="auto"/>
        <w:rPr>
          <w:rFonts w:ascii="Arial" w:hAnsi="Arial" w:cs="Arial"/>
          <w:b/>
          <w:bCs/>
          <w:color w:val="000000"/>
          <w:sz w:val="20"/>
          <w:szCs w:val="20"/>
        </w:rPr>
      </w:pPr>
    </w:p>
    <w:p w:rsidR="00642494" w:rsidRDefault="00642494" w:rsidP="00642494">
      <w:pPr>
        <w:spacing w:line="259" w:lineRule="auto"/>
        <w:rPr>
          <w:rFonts w:ascii="Arial" w:hAnsi="Arial" w:cs="Arial"/>
          <w:b/>
          <w:bCs/>
          <w:color w:val="000000"/>
          <w:sz w:val="20"/>
          <w:szCs w:val="20"/>
        </w:rPr>
      </w:pPr>
    </w:p>
    <w:p w:rsidR="00642494" w:rsidRDefault="00642494" w:rsidP="00642494">
      <w:pPr>
        <w:spacing w:line="259" w:lineRule="auto"/>
        <w:rPr>
          <w:rFonts w:ascii="Arial" w:hAnsi="Arial" w:cs="Arial"/>
          <w:b/>
          <w:bCs/>
          <w:color w:val="000000"/>
          <w:sz w:val="20"/>
          <w:szCs w:val="20"/>
        </w:rPr>
      </w:pPr>
    </w:p>
    <w:p w:rsidR="00642494" w:rsidRDefault="00642494" w:rsidP="00642494">
      <w:pPr>
        <w:spacing w:line="259" w:lineRule="auto"/>
        <w:rPr>
          <w:rFonts w:ascii="Arial" w:hAnsi="Arial" w:cs="Arial"/>
          <w:b/>
          <w:bCs/>
          <w:color w:val="000000"/>
          <w:sz w:val="20"/>
          <w:szCs w:val="20"/>
        </w:rPr>
      </w:pPr>
    </w:p>
    <w:p w:rsidR="00642494" w:rsidRDefault="00642494" w:rsidP="00642494">
      <w:pPr>
        <w:spacing w:line="259" w:lineRule="auto"/>
        <w:rPr>
          <w:rFonts w:ascii="Arial" w:hAnsi="Arial" w:cs="Arial"/>
          <w:b/>
          <w:bCs/>
          <w:color w:val="000000"/>
          <w:sz w:val="20"/>
          <w:szCs w:val="20"/>
        </w:rPr>
      </w:pPr>
    </w:p>
    <w:p w:rsidR="00642494" w:rsidRDefault="00642494" w:rsidP="00642494">
      <w:pPr>
        <w:spacing w:line="259" w:lineRule="auto"/>
        <w:rPr>
          <w:rFonts w:ascii="Arial" w:hAnsi="Arial" w:cs="Arial"/>
          <w:b/>
          <w:bCs/>
          <w:color w:val="000000"/>
          <w:sz w:val="20"/>
          <w:szCs w:val="20"/>
        </w:rPr>
      </w:pPr>
    </w:p>
    <w:p w:rsidR="00642494" w:rsidRDefault="00642494" w:rsidP="00642494">
      <w:pPr>
        <w:spacing w:line="259" w:lineRule="auto"/>
        <w:rPr>
          <w:rFonts w:ascii="Arial" w:hAnsi="Arial" w:cs="Arial"/>
          <w:b/>
          <w:bCs/>
          <w:color w:val="000000"/>
          <w:sz w:val="20"/>
          <w:szCs w:val="20"/>
        </w:rPr>
      </w:pPr>
    </w:p>
    <w:p w:rsidR="00642494" w:rsidRDefault="00642494" w:rsidP="00642494">
      <w:pPr>
        <w:spacing w:line="259" w:lineRule="auto"/>
        <w:rPr>
          <w:rFonts w:ascii="Arial" w:hAnsi="Arial" w:cs="Arial"/>
          <w:b/>
          <w:bCs/>
          <w:color w:val="000000"/>
          <w:sz w:val="20"/>
          <w:szCs w:val="20"/>
        </w:rPr>
      </w:pPr>
    </w:p>
    <w:p w:rsidR="00642494" w:rsidRDefault="00642494" w:rsidP="00642494">
      <w:pPr>
        <w:spacing w:line="259" w:lineRule="auto"/>
        <w:rPr>
          <w:rFonts w:ascii="Arial" w:hAnsi="Arial" w:cs="Arial"/>
          <w:b/>
          <w:bCs/>
          <w:color w:val="000000"/>
          <w:sz w:val="20"/>
          <w:szCs w:val="20"/>
        </w:rPr>
      </w:pPr>
    </w:p>
    <w:p w:rsidR="00642494" w:rsidRDefault="00642494" w:rsidP="00642494">
      <w:pPr>
        <w:spacing w:line="259" w:lineRule="auto"/>
        <w:rPr>
          <w:rFonts w:ascii="Arial" w:hAnsi="Arial" w:cs="Arial"/>
          <w:b/>
          <w:bCs/>
          <w:color w:val="000000"/>
          <w:sz w:val="20"/>
          <w:szCs w:val="20"/>
        </w:rPr>
      </w:pPr>
      <w:r>
        <w:rPr>
          <w:rFonts w:ascii="Arial" w:hAnsi="Arial" w:cs="Arial"/>
          <w:b/>
          <w:bCs/>
          <w:color w:val="000000"/>
          <w:sz w:val="20"/>
          <w:szCs w:val="20"/>
        </w:rPr>
        <w:t>Individual Housing loans – Revised limits under four-tiered regulatory framework</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RBI/2022-23/159</w:t>
      </w:r>
      <w:r>
        <w:rPr>
          <w:rFonts w:ascii="Arial" w:hAnsi="Arial" w:cs="Arial"/>
          <w:color w:val="000000"/>
          <w:sz w:val="20"/>
          <w:szCs w:val="20"/>
        </w:rPr>
        <w:br/>
        <w:t>DOR.CRE.REC.92/07.10.002/2022-23</w:t>
      </w:r>
    </w:p>
    <w:p w:rsidR="00642494" w:rsidRDefault="00642494" w:rsidP="00642494">
      <w:pPr>
        <w:pStyle w:val="NormalWeb"/>
        <w:jc w:val="right"/>
        <w:rPr>
          <w:rFonts w:ascii="Arial" w:hAnsi="Arial" w:cs="Arial"/>
          <w:color w:val="000000"/>
          <w:sz w:val="20"/>
          <w:szCs w:val="20"/>
        </w:rPr>
      </w:pPr>
      <w:r>
        <w:rPr>
          <w:rFonts w:ascii="Arial" w:hAnsi="Arial" w:cs="Arial"/>
          <w:color w:val="000000"/>
          <w:sz w:val="20"/>
          <w:szCs w:val="20"/>
        </w:rPr>
        <w:lastRenderedPageBreak/>
        <w:t>December 30, 2022</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All Primary (Urban) Co-operative Banks,</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Madam / Dear Sir,</w:t>
      </w:r>
    </w:p>
    <w:p w:rsidR="00642494" w:rsidRDefault="00642494" w:rsidP="00642494">
      <w:pPr>
        <w:pStyle w:val="head"/>
        <w:jc w:val="both"/>
        <w:rPr>
          <w:rFonts w:ascii="Arial" w:hAnsi="Arial" w:cs="Arial"/>
          <w:b/>
          <w:bCs/>
          <w:color w:val="000000"/>
          <w:sz w:val="20"/>
          <w:szCs w:val="20"/>
        </w:rPr>
      </w:pPr>
      <w:r>
        <w:rPr>
          <w:rFonts w:ascii="Arial" w:hAnsi="Arial" w:cs="Arial"/>
          <w:b/>
          <w:bCs/>
          <w:color w:val="000000"/>
          <w:sz w:val="20"/>
          <w:szCs w:val="20"/>
        </w:rPr>
        <w:t>Individual Housing loans – Revised limits under four-tiered regulatory framework</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Please refer to </w:t>
      </w:r>
      <w:hyperlink r:id="rId54" w:tgtFrame="_blank" w:history="1">
        <w:r>
          <w:rPr>
            <w:rStyle w:val="Hyperlink"/>
            <w:rFonts w:ascii="Arial" w:hAnsi="Arial" w:cs="Arial"/>
            <w:sz w:val="20"/>
            <w:szCs w:val="20"/>
          </w:rPr>
          <w:t>circular DOR.REG.No.84/07.01.000/2022-23 dated December 1, 2022</w:t>
        </w:r>
      </w:hyperlink>
      <w:r>
        <w:rPr>
          <w:rFonts w:ascii="Arial" w:hAnsi="Arial" w:cs="Arial"/>
          <w:color w:val="000000"/>
          <w:sz w:val="20"/>
          <w:szCs w:val="20"/>
        </w:rPr>
        <w:t>, in terms of which UCBs have been categorised into four tiers for regulatory purposes.</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2. In terms of the </w:t>
      </w:r>
      <w:hyperlink r:id="rId55" w:tgtFrame="_blank" w:history="1">
        <w:r>
          <w:rPr>
            <w:rStyle w:val="Hyperlink"/>
            <w:rFonts w:ascii="Arial" w:hAnsi="Arial" w:cs="Arial"/>
            <w:sz w:val="20"/>
            <w:szCs w:val="20"/>
          </w:rPr>
          <w:t>circular DOR.CRE.REC.42/09.22.010/2022-23 dated June 8, 2022</w:t>
        </w:r>
      </w:hyperlink>
      <w:r>
        <w:rPr>
          <w:rFonts w:ascii="Arial" w:hAnsi="Arial" w:cs="Arial"/>
          <w:color w:val="000000"/>
          <w:sz w:val="20"/>
          <w:szCs w:val="20"/>
        </w:rPr>
        <w:t xml:space="preserve">, ceilings on housing loans to individuals are prescribed as ₹60 lakh for Tier-I UCBs and ₹140 lakh for Tier-II UCBs. Consequent upon classification of UCBs into four tiers under the revised regulatory framework, it has been decided to specify the limits on housing loans sanctioned by UCBs to an individual borrower as ₹60 </w:t>
      </w:r>
      <w:proofErr w:type="gramStart"/>
      <w:r>
        <w:rPr>
          <w:rFonts w:ascii="Arial" w:hAnsi="Arial" w:cs="Arial"/>
          <w:color w:val="000000"/>
          <w:sz w:val="20"/>
          <w:szCs w:val="20"/>
        </w:rPr>
        <w:t>lakh</w:t>
      </w:r>
      <w:proofErr w:type="gramEnd"/>
      <w:r>
        <w:rPr>
          <w:rFonts w:ascii="Arial" w:hAnsi="Arial" w:cs="Arial"/>
          <w:color w:val="000000"/>
          <w:sz w:val="20"/>
          <w:szCs w:val="20"/>
        </w:rPr>
        <w:t xml:space="preserve"> for Tier-1 UCBs and ₹140 lakh for UCBs categorised in Tier-2 to 4. Other terms and conditions of the circular ibid, remain unchanged.</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3. The limits prescribed under this circular are effective from the date of this circular. However, existing housing loans sanctioned prior to the date of this circular, which may be in breach of the ceiling, will be allowed to run off till maturity.</w:t>
      </w:r>
    </w:p>
    <w:p w:rsidR="00642494" w:rsidRDefault="00642494" w:rsidP="00642494">
      <w:pPr>
        <w:pStyle w:val="NormalWeb"/>
        <w:jc w:val="both"/>
        <w:rPr>
          <w:rFonts w:ascii="Arial" w:hAnsi="Arial" w:cs="Arial"/>
          <w:color w:val="000000"/>
          <w:sz w:val="20"/>
          <w:szCs w:val="20"/>
        </w:rPr>
      </w:pPr>
      <w:r>
        <w:rPr>
          <w:rFonts w:ascii="Arial" w:hAnsi="Arial" w:cs="Arial"/>
          <w:color w:val="000000"/>
          <w:sz w:val="20"/>
          <w:szCs w:val="20"/>
        </w:rPr>
        <w:t>Yours faithfully,</w:t>
      </w:r>
    </w:p>
    <w:p w:rsidR="00642494" w:rsidRDefault="00642494" w:rsidP="00642494">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Manoranjan</w:t>
      </w:r>
      <w:proofErr w:type="spellEnd"/>
      <w:r>
        <w:rPr>
          <w:rFonts w:ascii="Arial" w:hAnsi="Arial" w:cs="Arial"/>
          <w:color w:val="000000"/>
          <w:sz w:val="20"/>
          <w:szCs w:val="20"/>
        </w:rPr>
        <w:t xml:space="preserve"> Mishra)</w:t>
      </w:r>
      <w:r>
        <w:rPr>
          <w:rFonts w:ascii="Arial" w:hAnsi="Arial" w:cs="Arial"/>
          <w:color w:val="000000"/>
          <w:sz w:val="20"/>
          <w:szCs w:val="20"/>
        </w:rPr>
        <w:br/>
        <w:t>Chief General Manager</w:t>
      </w:r>
    </w:p>
    <w:p w:rsidR="00642494" w:rsidRDefault="00642494" w:rsidP="00642494">
      <w:pPr>
        <w:spacing w:line="259" w:lineRule="auto"/>
        <w:rPr>
          <w:rFonts w:ascii="Arial" w:hAnsi="Arial" w:cs="Arial"/>
          <w:sz w:val="20"/>
          <w:szCs w:val="20"/>
        </w:rPr>
      </w:pPr>
    </w:p>
    <w:p w:rsidR="00642494" w:rsidRDefault="00642494" w:rsidP="00642494">
      <w:pPr>
        <w:spacing w:line="259" w:lineRule="auto"/>
        <w:rPr>
          <w:rFonts w:ascii="Arial" w:hAnsi="Arial" w:cs="Arial"/>
          <w:sz w:val="20"/>
          <w:szCs w:val="20"/>
        </w:rPr>
      </w:pPr>
    </w:p>
    <w:p w:rsidR="00642494" w:rsidRDefault="00642494" w:rsidP="00642494">
      <w:pPr>
        <w:spacing w:after="0"/>
        <w:rPr>
          <w:rFonts w:ascii="Arial" w:hAnsi="Arial" w:cs="Arial"/>
          <w:sz w:val="20"/>
          <w:szCs w:val="20"/>
        </w:rPr>
      </w:pPr>
      <w:r w:rsidRPr="00435B25">
        <w:rPr>
          <w:rFonts w:ascii="Arial" w:hAnsi="Arial" w:cs="Arial"/>
          <w:sz w:val="20"/>
          <w:szCs w:val="20"/>
        </w:rPr>
        <w:t>More details can be referred to in the below link.</w:t>
      </w:r>
    </w:p>
    <w:p w:rsidR="00642494" w:rsidRDefault="00642494" w:rsidP="00642494">
      <w:pPr>
        <w:spacing w:line="259" w:lineRule="auto"/>
        <w:rPr>
          <w:rFonts w:ascii="Arial" w:hAnsi="Arial" w:cs="Arial"/>
          <w:sz w:val="20"/>
          <w:szCs w:val="20"/>
        </w:rPr>
      </w:pPr>
      <w:r w:rsidRPr="00435B25">
        <w:rPr>
          <w:rFonts w:ascii="Arial" w:hAnsi="Arial" w:cs="Arial"/>
          <w:sz w:val="20"/>
          <w:szCs w:val="20"/>
        </w:rPr>
        <w:t>Reference Link:</w:t>
      </w:r>
      <w:r>
        <w:rPr>
          <w:rFonts w:ascii="Arial" w:hAnsi="Arial" w:cs="Arial"/>
          <w:sz w:val="20"/>
          <w:szCs w:val="20"/>
        </w:rPr>
        <w:t xml:space="preserve"> </w:t>
      </w:r>
      <w:hyperlink r:id="rId56" w:anchor=":~:text=010%2F2022%2D23%20dated%20June,lakh%20for%20Tier%2DII%20UCBs" w:history="1">
        <w:r w:rsidRPr="00735218">
          <w:rPr>
            <w:rStyle w:val="Hyperlink"/>
            <w:rFonts w:ascii="Arial" w:hAnsi="Arial" w:cs="Arial"/>
            <w:sz w:val="20"/>
            <w:szCs w:val="20"/>
          </w:rPr>
          <w:t>https://www.rbi.org.in/Scripts/BS_CircularIndexDisplay.aspx?Id=12432#:~:text=010%2F2022%2D23%20dated%20June,lakh%20for%20Tier%2DII%20UCBs</w:t>
        </w:r>
      </w:hyperlink>
      <w:r w:rsidRPr="00587F28">
        <w:rPr>
          <w:rFonts w:ascii="Arial" w:hAnsi="Arial" w:cs="Arial"/>
          <w:sz w:val="20"/>
          <w:szCs w:val="20"/>
        </w:rPr>
        <w:t>.</w:t>
      </w:r>
    </w:p>
    <w:p w:rsidR="00642494" w:rsidRDefault="00642494" w:rsidP="00642494">
      <w:pPr>
        <w:spacing w:line="259" w:lineRule="auto"/>
        <w:rPr>
          <w:rFonts w:ascii="Arial" w:hAnsi="Arial" w:cs="Arial"/>
          <w:sz w:val="20"/>
          <w:szCs w:val="20"/>
        </w:rPr>
      </w:pPr>
    </w:p>
    <w:p w:rsidR="00642494" w:rsidRDefault="00642494" w:rsidP="00642494">
      <w:pPr>
        <w:spacing w:line="259" w:lineRule="auto"/>
        <w:rPr>
          <w:rFonts w:ascii="Arial" w:hAnsi="Arial" w:cs="Arial"/>
          <w:b/>
          <w:bCs/>
          <w:color w:val="000000"/>
          <w:sz w:val="20"/>
          <w:szCs w:val="20"/>
        </w:rPr>
      </w:pPr>
    </w:p>
    <w:sectPr w:rsidR="006424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AB1"/>
    <w:multiLevelType w:val="multilevel"/>
    <w:tmpl w:val="3684EEB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15C588F"/>
    <w:multiLevelType w:val="multilevel"/>
    <w:tmpl w:val="4B72A3B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8E025F9"/>
    <w:multiLevelType w:val="multilevel"/>
    <w:tmpl w:val="E3108F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DEE1848"/>
    <w:multiLevelType w:val="multilevel"/>
    <w:tmpl w:val="7EFE66D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FC2351A"/>
    <w:multiLevelType w:val="multilevel"/>
    <w:tmpl w:val="D392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91410"/>
    <w:multiLevelType w:val="multilevel"/>
    <w:tmpl w:val="C6E82E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1BF0048"/>
    <w:multiLevelType w:val="multilevel"/>
    <w:tmpl w:val="D9B0B3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2B1550F"/>
    <w:multiLevelType w:val="multilevel"/>
    <w:tmpl w:val="AECA1D5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61F68F3"/>
    <w:multiLevelType w:val="multilevel"/>
    <w:tmpl w:val="203890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C1460AC"/>
    <w:multiLevelType w:val="multilevel"/>
    <w:tmpl w:val="F77ABC2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1E3167B8"/>
    <w:multiLevelType w:val="multilevel"/>
    <w:tmpl w:val="96ACE0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EDC1B6B"/>
    <w:multiLevelType w:val="multilevel"/>
    <w:tmpl w:val="421C98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0824147"/>
    <w:multiLevelType w:val="multilevel"/>
    <w:tmpl w:val="EFB0C5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12E110C"/>
    <w:multiLevelType w:val="multilevel"/>
    <w:tmpl w:val="5B24EE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9090732"/>
    <w:multiLevelType w:val="multilevel"/>
    <w:tmpl w:val="5AA4B46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29D33C14"/>
    <w:multiLevelType w:val="multilevel"/>
    <w:tmpl w:val="3B1E554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2B826247"/>
    <w:multiLevelType w:val="multilevel"/>
    <w:tmpl w:val="12EAFDF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3109580A"/>
    <w:multiLevelType w:val="multilevel"/>
    <w:tmpl w:val="9086F5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1925B4C"/>
    <w:multiLevelType w:val="multilevel"/>
    <w:tmpl w:val="9E0CA3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334A636F"/>
    <w:multiLevelType w:val="multilevel"/>
    <w:tmpl w:val="AAA05FB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357D4582"/>
    <w:multiLevelType w:val="multilevel"/>
    <w:tmpl w:val="940051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62A33A4"/>
    <w:multiLevelType w:val="multilevel"/>
    <w:tmpl w:val="BBD456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3D1C0D25"/>
    <w:multiLevelType w:val="multilevel"/>
    <w:tmpl w:val="E26E2F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3" w15:restartNumberingAfterBreak="0">
    <w:nsid w:val="3F2418FB"/>
    <w:multiLevelType w:val="multilevel"/>
    <w:tmpl w:val="0C0A29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33C2382"/>
    <w:multiLevelType w:val="multilevel"/>
    <w:tmpl w:val="E708D8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4F8E310F"/>
    <w:multiLevelType w:val="multilevel"/>
    <w:tmpl w:val="7B2CB7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05E7C06"/>
    <w:multiLevelType w:val="multilevel"/>
    <w:tmpl w:val="8592D6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1EE5FA6"/>
    <w:multiLevelType w:val="multilevel"/>
    <w:tmpl w:val="36EEA8E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8" w15:restartNumberingAfterBreak="0">
    <w:nsid w:val="59AC63D0"/>
    <w:multiLevelType w:val="hybridMultilevel"/>
    <w:tmpl w:val="01961D3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9" w15:restartNumberingAfterBreak="0">
    <w:nsid w:val="5A00010F"/>
    <w:multiLevelType w:val="multilevel"/>
    <w:tmpl w:val="A72CC1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C79498A"/>
    <w:multiLevelType w:val="multilevel"/>
    <w:tmpl w:val="EF8429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D2B74A0"/>
    <w:multiLevelType w:val="multilevel"/>
    <w:tmpl w:val="F9CA65CC"/>
    <w:lvl w:ilvl="0">
      <w:start w:val="1"/>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abstractNum w:abstractNumId="32" w15:restartNumberingAfterBreak="0">
    <w:nsid w:val="5D333C26"/>
    <w:multiLevelType w:val="multilevel"/>
    <w:tmpl w:val="9CA4C1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3" w15:restartNumberingAfterBreak="0">
    <w:nsid w:val="63D114ED"/>
    <w:multiLevelType w:val="multilevel"/>
    <w:tmpl w:val="123617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4E15E3A"/>
    <w:multiLevelType w:val="multilevel"/>
    <w:tmpl w:val="495A5F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6A6B539B"/>
    <w:multiLevelType w:val="multilevel"/>
    <w:tmpl w:val="53BE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FC2A94"/>
    <w:multiLevelType w:val="multilevel"/>
    <w:tmpl w:val="3808D5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B077D3E"/>
    <w:multiLevelType w:val="multilevel"/>
    <w:tmpl w:val="18D60F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31"/>
  </w:num>
  <w:num w:numId="7">
    <w:abstractNumId w:val="25"/>
  </w:num>
  <w:num w:numId="8">
    <w:abstractNumId w:val="2"/>
  </w:num>
  <w:num w:numId="9">
    <w:abstractNumId w:val="1"/>
  </w:num>
  <w:num w:numId="10">
    <w:abstractNumId w:val="19"/>
  </w:num>
  <w:num w:numId="11">
    <w:abstractNumId w:val="16"/>
  </w:num>
  <w:num w:numId="12">
    <w:abstractNumId w:val="3"/>
  </w:num>
  <w:num w:numId="13">
    <w:abstractNumId w:val="14"/>
  </w:num>
  <w:num w:numId="14">
    <w:abstractNumId w:val="24"/>
  </w:num>
  <w:num w:numId="15">
    <w:abstractNumId w:val="34"/>
  </w:num>
  <w:num w:numId="16">
    <w:abstractNumId w:val="5"/>
  </w:num>
  <w:num w:numId="17">
    <w:abstractNumId w:val="21"/>
  </w:num>
  <w:num w:numId="18">
    <w:abstractNumId w:val="13"/>
  </w:num>
  <w:num w:numId="19">
    <w:abstractNumId w:val="12"/>
  </w:num>
  <w:num w:numId="20">
    <w:abstractNumId w:val="20"/>
  </w:num>
  <w:num w:numId="21">
    <w:abstractNumId w:val="11"/>
  </w:num>
  <w:num w:numId="22">
    <w:abstractNumId w:val="29"/>
  </w:num>
  <w:num w:numId="23">
    <w:abstractNumId w:val="9"/>
  </w:num>
  <w:num w:numId="24">
    <w:abstractNumId w:val="18"/>
  </w:num>
  <w:num w:numId="25">
    <w:abstractNumId w:val="7"/>
  </w:num>
  <w:num w:numId="26">
    <w:abstractNumId w:val="26"/>
  </w:num>
  <w:num w:numId="27">
    <w:abstractNumId w:val="6"/>
  </w:num>
  <w:num w:numId="28">
    <w:abstractNumId w:val="23"/>
  </w:num>
  <w:num w:numId="29">
    <w:abstractNumId w:val="10"/>
  </w:num>
  <w:num w:numId="30">
    <w:abstractNumId w:val="30"/>
  </w:num>
  <w:num w:numId="31">
    <w:abstractNumId w:val="33"/>
  </w:num>
  <w:num w:numId="32">
    <w:abstractNumId w:val="17"/>
  </w:num>
  <w:num w:numId="33">
    <w:abstractNumId w:val="8"/>
  </w:num>
  <w:num w:numId="34">
    <w:abstractNumId w:val="4"/>
  </w:num>
  <w:num w:numId="35">
    <w:abstractNumId w:val="35"/>
  </w:num>
  <w:num w:numId="36">
    <w:abstractNumId w:val="15"/>
  </w:num>
  <w:num w:numId="37">
    <w:abstractNumId w:val="37"/>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E6D"/>
    <w:rsid w:val="00006E6D"/>
    <w:rsid w:val="0001134A"/>
    <w:rsid w:val="00047CD5"/>
    <w:rsid w:val="00066AD4"/>
    <w:rsid w:val="00083374"/>
    <w:rsid w:val="000B4DC2"/>
    <w:rsid w:val="000F6CB6"/>
    <w:rsid w:val="00121B22"/>
    <w:rsid w:val="00147837"/>
    <w:rsid w:val="00155008"/>
    <w:rsid w:val="00166E3C"/>
    <w:rsid w:val="00184108"/>
    <w:rsid w:val="001B0D06"/>
    <w:rsid w:val="001E7AD4"/>
    <w:rsid w:val="001F219E"/>
    <w:rsid w:val="00213882"/>
    <w:rsid w:val="00230EAC"/>
    <w:rsid w:val="002313C4"/>
    <w:rsid w:val="00245B30"/>
    <w:rsid w:val="002A3764"/>
    <w:rsid w:val="002C55B6"/>
    <w:rsid w:val="003A283E"/>
    <w:rsid w:val="00435B25"/>
    <w:rsid w:val="00436D36"/>
    <w:rsid w:val="0045114B"/>
    <w:rsid w:val="00494F1F"/>
    <w:rsid w:val="004D6B44"/>
    <w:rsid w:val="004E718A"/>
    <w:rsid w:val="00556D17"/>
    <w:rsid w:val="005748AD"/>
    <w:rsid w:val="00581BDE"/>
    <w:rsid w:val="00583041"/>
    <w:rsid w:val="005A38FC"/>
    <w:rsid w:val="005D5DB2"/>
    <w:rsid w:val="00642494"/>
    <w:rsid w:val="00645D84"/>
    <w:rsid w:val="0068363E"/>
    <w:rsid w:val="006C5648"/>
    <w:rsid w:val="00706A14"/>
    <w:rsid w:val="00744532"/>
    <w:rsid w:val="008462A3"/>
    <w:rsid w:val="0085415B"/>
    <w:rsid w:val="00911528"/>
    <w:rsid w:val="00912551"/>
    <w:rsid w:val="009126BF"/>
    <w:rsid w:val="009B54D0"/>
    <w:rsid w:val="009F305B"/>
    <w:rsid w:val="00A32EAB"/>
    <w:rsid w:val="00A410BB"/>
    <w:rsid w:val="00A76041"/>
    <w:rsid w:val="00B1420D"/>
    <w:rsid w:val="00B46998"/>
    <w:rsid w:val="00B517AF"/>
    <w:rsid w:val="00B71788"/>
    <w:rsid w:val="00BD01D5"/>
    <w:rsid w:val="00BF2165"/>
    <w:rsid w:val="00C109D0"/>
    <w:rsid w:val="00C460A2"/>
    <w:rsid w:val="00C754F7"/>
    <w:rsid w:val="00C8671B"/>
    <w:rsid w:val="00C93B49"/>
    <w:rsid w:val="00CE14AF"/>
    <w:rsid w:val="00CF0868"/>
    <w:rsid w:val="00CF340B"/>
    <w:rsid w:val="00D24841"/>
    <w:rsid w:val="00DB76CD"/>
    <w:rsid w:val="00DD4E02"/>
    <w:rsid w:val="00DE227F"/>
    <w:rsid w:val="00DE6119"/>
    <w:rsid w:val="00E0459A"/>
    <w:rsid w:val="00E047EF"/>
    <w:rsid w:val="00E65289"/>
    <w:rsid w:val="00EC5CE1"/>
    <w:rsid w:val="00EC7DEE"/>
    <w:rsid w:val="00F401F7"/>
    <w:rsid w:val="00F6094D"/>
    <w:rsid w:val="00FB37E8"/>
    <w:rsid w:val="00FB49BF"/>
    <w:rsid w:val="00FE15F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A718D"/>
  <w15:chartTrackingRefBased/>
  <w15:docId w15:val="{237EF2D5-A44F-4913-B195-C42A7C642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16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2165"/>
    <w:rPr>
      <w:color w:val="0000FF"/>
      <w:u w:val="single"/>
    </w:rPr>
  </w:style>
  <w:style w:type="paragraph" w:styleId="NormalWeb">
    <w:name w:val="Normal (Web)"/>
    <w:basedOn w:val="Normal"/>
    <w:uiPriority w:val="99"/>
    <w:unhideWhenUsed/>
    <w:rsid w:val="00BF216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BF2165"/>
    <w:pPr>
      <w:ind w:left="720"/>
      <w:contextualSpacing/>
    </w:pPr>
  </w:style>
  <w:style w:type="paragraph" w:customStyle="1" w:styleId="head">
    <w:name w:val="head"/>
    <w:basedOn w:val="Normal"/>
    <w:rsid w:val="00BF2165"/>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BF216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1">
    <w:name w:val="head1"/>
    <w:basedOn w:val="DefaultParagraphFont"/>
    <w:rsid w:val="001E7AD4"/>
  </w:style>
  <w:style w:type="paragraph" w:styleId="NoSpacing">
    <w:name w:val="No Spacing"/>
    <w:uiPriority w:val="1"/>
    <w:qFormat/>
    <w:rsid w:val="000F6C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7898">
      <w:bodyDiv w:val="1"/>
      <w:marLeft w:val="0"/>
      <w:marRight w:val="0"/>
      <w:marTop w:val="0"/>
      <w:marBottom w:val="0"/>
      <w:divBdr>
        <w:top w:val="none" w:sz="0" w:space="0" w:color="auto"/>
        <w:left w:val="none" w:sz="0" w:space="0" w:color="auto"/>
        <w:bottom w:val="none" w:sz="0" w:space="0" w:color="auto"/>
        <w:right w:val="none" w:sz="0" w:space="0" w:color="auto"/>
      </w:divBdr>
    </w:div>
    <w:div w:id="23943418">
      <w:bodyDiv w:val="1"/>
      <w:marLeft w:val="0"/>
      <w:marRight w:val="0"/>
      <w:marTop w:val="0"/>
      <w:marBottom w:val="0"/>
      <w:divBdr>
        <w:top w:val="none" w:sz="0" w:space="0" w:color="auto"/>
        <w:left w:val="none" w:sz="0" w:space="0" w:color="auto"/>
        <w:bottom w:val="none" w:sz="0" w:space="0" w:color="auto"/>
        <w:right w:val="none" w:sz="0" w:space="0" w:color="auto"/>
      </w:divBdr>
    </w:div>
    <w:div w:id="55249740">
      <w:bodyDiv w:val="1"/>
      <w:marLeft w:val="0"/>
      <w:marRight w:val="0"/>
      <w:marTop w:val="0"/>
      <w:marBottom w:val="0"/>
      <w:divBdr>
        <w:top w:val="none" w:sz="0" w:space="0" w:color="auto"/>
        <w:left w:val="none" w:sz="0" w:space="0" w:color="auto"/>
        <w:bottom w:val="none" w:sz="0" w:space="0" w:color="auto"/>
        <w:right w:val="none" w:sz="0" w:space="0" w:color="auto"/>
      </w:divBdr>
    </w:div>
    <w:div w:id="76169910">
      <w:bodyDiv w:val="1"/>
      <w:marLeft w:val="0"/>
      <w:marRight w:val="0"/>
      <w:marTop w:val="0"/>
      <w:marBottom w:val="0"/>
      <w:divBdr>
        <w:top w:val="none" w:sz="0" w:space="0" w:color="auto"/>
        <w:left w:val="none" w:sz="0" w:space="0" w:color="auto"/>
        <w:bottom w:val="none" w:sz="0" w:space="0" w:color="auto"/>
        <w:right w:val="none" w:sz="0" w:space="0" w:color="auto"/>
      </w:divBdr>
    </w:div>
    <w:div w:id="123080276">
      <w:bodyDiv w:val="1"/>
      <w:marLeft w:val="0"/>
      <w:marRight w:val="0"/>
      <w:marTop w:val="0"/>
      <w:marBottom w:val="0"/>
      <w:divBdr>
        <w:top w:val="none" w:sz="0" w:space="0" w:color="auto"/>
        <w:left w:val="none" w:sz="0" w:space="0" w:color="auto"/>
        <w:bottom w:val="none" w:sz="0" w:space="0" w:color="auto"/>
        <w:right w:val="none" w:sz="0" w:space="0" w:color="auto"/>
      </w:divBdr>
    </w:div>
    <w:div w:id="139806540">
      <w:bodyDiv w:val="1"/>
      <w:marLeft w:val="0"/>
      <w:marRight w:val="0"/>
      <w:marTop w:val="0"/>
      <w:marBottom w:val="0"/>
      <w:divBdr>
        <w:top w:val="none" w:sz="0" w:space="0" w:color="auto"/>
        <w:left w:val="none" w:sz="0" w:space="0" w:color="auto"/>
        <w:bottom w:val="none" w:sz="0" w:space="0" w:color="auto"/>
        <w:right w:val="none" w:sz="0" w:space="0" w:color="auto"/>
      </w:divBdr>
    </w:div>
    <w:div w:id="164829666">
      <w:bodyDiv w:val="1"/>
      <w:marLeft w:val="0"/>
      <w:marRight w:val="0"/>
      <w:marTop w:val="0"/>
      <w:marBottom w:val="0"/>
      <w:divBdr>
        <w:top w:val="none" w:sz="0" w:space="0" w:color="auto"/>
        <w:left w:val="none" w:sz="0" w:space="0" w:color="auto"/>
        <w:bottom w:val="none" w:sz="0" w:space="0" w:color="auto"/>
        <w:right w:val="none" w:sz="0" w:space="0" w:color="auto"/>
      </w:divBdr>
    </w:div>
    <w:div w:id="174346286">
      <w:bodyDiv w:val="1"/>
      <w:marLeft w:val="0"/>
      <w:marRight w:val="0"/>
      <w:marTop w:val="0"/>
      <w:marBottom w:val="0"/>
      <w:divBdr>
        <w:top w:val="none" w:sz="0" w:space="0" w:color="auto"/>
        <w:left w:val="none" w:sz="0" w:space="0" w:color="auto"/>
        <w:bottom w:val="none" w:sz="0" w:space="0" w:color="auto"/>
        <w:right w:val="none" w:sz="0" w:space="0" w:color="auto"/>
      </w:divBdr>
    </w:div>
    <w:div w:id="205606727">
      <w:bodyDiv w:val="1"/>
      <w:marLeft w:val="0"/>
      <w:marRight w:val="0"/>
      <w:marTop w:val="0"/>
      <w:marBottom w:val="0"/>
      <w:divBdr>
        <w:top w:val="none" w:sz="0" w:space="0" w:color="auto"/>
        <w:left w:val="none" w:sz="0" w:space="0" w:color="auto"/>
        <w:bottom w:val="none" w:sz="0" w:space="0" w:color="auto"/>
        <w:right w:val="none" w:sz="0" w:space="0" w:color="auto"/>
      </w:divBdr>
    </w:div>
    <w:div w:id="214238029">
      <w:bodyDiv w:val="1"/>
      <w:marLeft w:val="0"/>
      <w:marRight w:val="0"/>
      <w:marTop w:val="0"/>
      <w:marBottom w:val="0"/>
      <w:divBdr>
        <w:top w:val="none" w:sz="0" w:space="0" w:color="auto"/>
        <w:left w:val="none" w:sz="0" w:space="0" w:color="auto"/>
        <w:bottom w:val="none" w:sz="0" w:space="0" w:color="auto"/>
        <w:right w:val="none" w:sz="0" w:space="0" w:color="auto"/>
      </w:divBdr>
    </w:div>
    <w:div w:id="219559157">
      <w:bodyDiv w:val="1"/>
      <w:marLeft w:val="0"/>
      <w:marRight w:val="0"/>
      <w:marTop w:val="0"/>
      <w:marBottom w:val="0"/>
      <w:divBdr>
        <w:top w:val="none" w:sz="0" w:space="0" w:color="auto"/>
        <w:left w:val="none" w:sz="0" w:space="0" w:color="auto"/>
        <w:bottom w:val="none" w:sz="0" w:space="0" w:color="auto"/>
        <w:right w:val="none" w:sz="0" w:space="0" w:color="auto"/>
      </w:divBdr>
    </w:div>
    <w:div w:id="252277237">
      <w:bodyDiv w:val="1"/>
      <w:marLeft w:val="0"/>
      <w:marRight w:val="0"/>
      <w:marTop w:val="0"/>
      <w:marBottom w:val="0"/>
      <w:divBdr>
        <w:top w:val="none" w:sz="0" w:space="0" w:color="auto"/>
        <w:left w:val="none" w:sz="0" w:space="0" w:color="auto"/>
        <w:bottom w:val="none" w:sz="0" w:space="0" w:color="auto"/>
        <w:right w:val="none" w:sz="0" w:space="0" w:color="auto"/>
      </w:divBdr>
    </w:div>
    <w:div w:id="253173397">
      <w:bodyDiv w:val="1"/>
      <w:marLeft w:val="0"/>
      <w:marRight w:val="0"/>
      <w:marTop w:val="0"/>
      <w:marBottom w:val="0"/>
      <w:divBdr>
        <w:top w:val="none" w:sz="0" w:space="0" w:color="auto"/>
        <w:left w:val="none" w:sz="0" w:space="0" w:color="auto"/>
        <w:bottom w:val="none" w:sz="0" w:space="0" w:color="auto"/>
        <w:right w:val="none" w:sz="0" w:space="0" w:color="auto"/>
      </w:divBdr>
    </w:div>
    <w:div w:id="267391404">
      <w:bodyDiv w:val="1"/>
      <w:marLeft w:val="0"/>
      <w:marRight w:val="0"/>
      <w:marTop w:val="0"/>
      <w:marBottom w:val="0"/>
      <w:divBdr>
        <w:top w:val="none" w:sz="0" w:space="0" w:color="auto"/>
        <w:left w:val="none" w:sz="0" w:space="0" w:color="auto"/>
        <w:bottom w:val="none" w:sz="0" w:space="0" w:color="auto"/>
        <w:right w:val="none" w:sz="0" w:space="0" w:color="auto"/>
      </w:divBdr>
    </w:div>
    <w:div w:id="281427548">
      <w:bodyDiv w:val="1"/>
      <w:marLeft w:val="0"/>
      <w:marRight w:val="0"/>
      <w:marTop w:val="0"/>
      <w:marBottom w:val="0"/>
      <w:divBdr>
        <w:top w:val="none" w:sz="0" w:space="0" w:color="auto"/>
        <w:left w:val="none" w:sz="0" w:space="0" w:color="auto"/>
        <w:bottom w:val="none" w:sz="0" w:space="0" w:color="auto"/>
        <w:right w:val="none" w:sz="0" w:space="0" w:color="auto"/>
      </w:divBdr>
    </w:div>
    <w:div w:id="290094693">
      <w:bodyDiv w:val="1"/>
      <w:marLeft w:val="0"/>
      <w:marRight w:val="0"/>
      <w:marTop w:val="0"/>
      <w:marBottom w:val="0"/>
      <w:divBdr>
        <w:top w:val="none" w:sz="0" w:space="0" w:color="auto"/>
        <w:left w:val="none" w:sz="0" w:space="0" w:color="auto"/>
        <w:bottom w:val="none" w:sz="0" w:space="0" w:color="auto"/>
        <w:right w:val="none" w:sz="0" w:space="0" w:color="auto"/>
      </w:divBdr>
    </w:div>
    <w:div w:id="299111546">
      <w:bodyDiv w:val="1"/>
      <w:marLeft w:val="0"/>
      <w:marRight w:val="0"/>
      <w:marTop w:val="0"/>
      <w:marBottom w:val="0"/>
      <w:divBdr>
        <w:top w:val="none" w:sz="0" w:space="0" w:color="auto"/>
        <w:left w:val="none" w:sz="0" w:space="0" w:color="auto"/>
        <w:bottom w:val="none" w:sz="0" w:space="0" w:color="auto"/>
        <w:right w:val="none" w:sz="0" w:space="0" w:color="auto"/>
      </w:divBdr>
    </w:div>
    <w:div w:id="307518933">
      <w:bodyDiv w:val="1"/>
      <w:marLeft w:val="0"/>
      <w:marRight w:val="0"/>
      <w:marTop w:val="0"/>
      <w:marBottom w:val="0"/>
      <w:divBdr>
        <w:top w:val="none" w:sz="0" w:space="0" w:color="auto"/>
        <w:left w:val="none" w:sz="0" w:space="0" w:color="auto"/>
        <w:bottom w:val="none" w:sz="0" w:space="0" w:color="auto"/>
        <w:right w:val="none" w:sz="0" w:space="0" w:color="auto"/>
      </w:divBdr>
    </w:div>
    <w:div w:id="334571405">
      <w:bodyDiv w:val="1"/>
      <w:marLeft w:val="0"/>
      <w:marRight w:val="0"/>
      <w:marTop w:val="0"/>
      <w:marBottom w:val="0"/>
      <w:divBdr>
        <w:top w:val="none" w:sz="0" w:space="0" w:color="auto"/>
        <w:left w:val="none" w:sz="0" w:space="0" w:color="auto"/>
        <w:bottom w:val="none" w:sz="0" w:space="0" w:color="auto"/>
        <w:right w:val="none" w:sz="0" w:space="0" w:color="auto"/>
      </w:divBdr>
    </w:div>
    <w:div w:id="337461665">
      <w:bodyDiv w:val="1"/>
      <w:marLeft w:val="0"/>
      <w:marRight w:val="0"/>
      <w:marTop w:val="0"/>
      <w:marBottom w:val="0"/>
      <w:divBdr>
        <w:top w:val="none" w:sz="0" w:space="0" w:color="auto"/>
        <w:left w:val="none" w:sz="0" w:space="0" w:color="auto"/>
        <w:bottom w:val="none" w:sz="0" w:space="0" w:color="auto"/>
        <w:right w:val="none" w:sz="0" w:space="0" w:color="auto"/>
      </w:divBdr>
    </w:div>
    <w:div w:id="339429337">
      <w:bodyDiv w:val="1"/>
      <w:marLeft w:val="0"/>
      <w:marRight w:val="0"/>
      <w:marTop w:val="0"/>
      <w:marBottom w:val="0"/>
      <w:divBdr>
        <w:top w:val="none" w:sz="0" w:space="0" w:color="auto"/>
        <w:left w:val="none" w:sz="0" w:space="0" w:color="auto"/>
        <w:bottom w:val="none" w:sz="0" w:space="0" w:color="auto"/>
        <w:right w:val="none" w:sz="0" w:space="0" w:color="auto"/>
      </w:divBdr>
    </w:div>
    <w:div w:id="345520195">
      <w:bodyDiv w:val="1"/>
      <w:marLeft w:val="0"/>
      <w:marRight w:val="0"/>
      <w:marTop w:val="0"/>
      <w:marBottom w:val="0"/>
      <w:divBdr>
        <w:top w:val="none" w:sz="0" w:space="0" w:color="auto"/>
        <w:left w:val="none" w:sz="0" w:space="0" w:color="auto"/>
        <w:bottom w:val="none" w:sz="0" w:space="0" w:color="auto"/>
        <w:right w:val="none" w:sz="0" w:space="0" w:color="auto"/>
      </w:divBdr>
    </w:div>
    <w:div w:id="354187200">
      <w:bodyDiv w:val="1"/>
      <w:marLeft w:val="0"/>
      <w:marRight w:val="0"/>
      <w:marTop w:val="0"/>
      <w:marBottom w:val="0"/>
      <w:divBdr>
        <w:top w:val="none" w:sz="0" w:space="0" w:color="auto"/>
        <w:left w:val="none" w:sz="0" w:space="0" w:color="auto"/>
        <w:bottom w:val="none" w:sz="0" w:space="0" w:color="auto"/>
        <w:right w:val="none" w:sz="0" w:space="0" w:color="auto"/>
      </w:divBdr>
    </w:div>
    <w:div w:id="442192026">
      <w:bodyDiv w:val="1"/>
      <w:marLeft w:val="0"/>
      <w:marRight w:val="0"/>
      <w:marTop w:val="0"/>
      <w:marBottom w:val="0"/>
      <w:divBdr>
        <w:top w:val="none" w:sz="0" w:space="0" w:color="auto"/>
        <w:left w:val="none" w:sz="0" w:space="0" w:color="auto"/>
        <w:bottom w:val="none" w:sz="0" w:space="0" w:color="auto"/>
        <w:right w:val="none" w:sz="0" w:space="0" w:color="auto"/>
      </w:divBdr>
    </w:div>
    <w:div w:id="454494659">
      <w:bodyDiv w:val="1"/>
      <w:marLeft w:val="0"/>
      <w:marRight w:val="0"/>
      <w:marTop w:val="0"/>
      <w:marBottom w:val="0"/>
      <w:divBdr>
        <w:top w:val="none" w:sz="0" w:space="0" w:color="auto"/>
        <w:left w:val="none" w:sz="0" w:space="0" w:color="auto"/>
        <w:bottom w:val="none" w:sz="0" w:space="0" w:color="auto"/>
        <w:right w:val="none" w:sz="0" w:space="0" w:color="auto"/>
      </w:divBdr>
    </w:div>
    <w:div w:id="460149896">
      <w:bodyDiv w:val="1"/>
      <w:marLeft w:val="0"/>
      <w:marRight w:val="0"/>
      <w:marTop w:val="0"/>
      <w:marBottom w:val="0"/>
      <w:divBdr>
        <w:top w:val="none" w:sz="0" w:space="0" w:color="auto"/>
        <w:left w:val="none" w:sz="0" w:space="0" w:color="auto"/>
        <w:bottom w:val="none" w:sz="0" w:space="0" w:color="auto"/>
        <w:right w:val="none" w:sz="0" w:space="0" w:color="auto"/>
      </w:divBdr>
    </w:div>
    <w:div w:id="502595600">
      <w:bodyDiv w:val="1"/>
      <w:marLeft w:val="0"/>
      <w:marRight w:val="0"/>
      <w:marTop w:val="0"/>
      <w:marBottom w:val="0"/>
      <w:divBdr>
        <w:top w:val="none" w:sz="0" w:space="0" w:color="auto"/>
        <w:left w:val="none" w:sz="0" w:space="0" w:color="auto"/>
        <w:bottom w:val="none" w:sz="0" w:space="0" w:color="auto"/>
        <w:right w:val="none" w:sz="0" w:space="0" w:color="auto"/>
      </w:divBdr>
    </w:div>
    <w:div w:id="504511713">
      <w:bodyDiv w:val="1"/>
      <w:marLeft w:val="0"/>
      <w:marRight w:val="0"/>
      <w:marTop w:val="0"/>
      <w:marBottom w:val="0"/>
      <w:divBdr>
        <w:top w:val="none" w:sz="0" w:space="0" w:color="auto"/>
        <w:left w:val="none" w:sz="0" w:space="0" w:color="auto"/>
        <w:bottom w:val="none" w:sz="0" w:space="0" w:color="auto"/>
        <w:right w:val="none" w:sz="0" w:space="0" w:color="auto"/>
      </w:divBdr>
    </w:div>
    <w:div w:id="514805698">
      <w:bodyDiv w:val="1"/>
      <w:marLeft w:val="0"/>
      <w:marRight w:val="0"/>
      <w:marTop w:val="0"/>
      <w:marBottom w:val="0"/>
      <w:divBdr>
        <w:top w:val="none" w:sz="0" w:space="0" w:color="auto"/>
        <w:left w:val="none" w:sz="0" w:space="0" w:color="auto"/>
        <w:bottom w:val="none" w:sz="0" w:space="0" w:color="auto"/>
        <w:right w:val="none" w:sz="0" w:space="0" w:color="auto"/>
      </w:divBdr>
    </w:div>
    <w:div w:id="534197464">
      <w:bodyDiv w:val="1"/>
      <w:marLeft w:val="0"/>
      <w:marRight w:val="0"/>
      <w:marTop w:val="0"/>
      <w:marBottom w:val="0"/>
      <w:divBdr>
        <w:top w:val="none" w:sz="0" w:space="0" w:color="auto"/>
        <w:left w:val="none" w:sz="0" w:space="0" w:color="auto"/>
        <w:bottom w:val="none" w:sz="0" w:space="0" w:color="auto"/>
        <w:right w:val="none" w:sz="0" w:space="0" w:color="auto"/>
      </w:divBdr>
    </w:div>
    <w:div w:id="556473836">
      <w:bodyDiv w:val="1"/>
      <w:marLeft w:val="0"/>
      <w:marRight w:val="0"/>
      <w:marTop w:val="0"/>
      <w:marBottom w:val="0"/>
      <w:divBdr>
        <w:top w:val="none" w:sz="0" w:space="0" w:color="auto"/>
        <w:left w:val="none" w:sz="0" w:space="0" w:color="auto"/>
        <w:bottom w:val="none" w:sz="0" w:space="0" w:color="auto"/>
        <w:right w:val="none" w:sz="0" w:space="0" w:color="auto"/>
      </w:divBdr>
    </w:div>
    <w:div w:id="562720380">
      <w:bodyDiv w:val="1"/>
      <w:marLeft w:val="0"/>
      <w:marRight w:val="0"/>
      <w:marTop w:val="0"/>
      <w:marBottom w:val="0"/>
      <w:divBdr>
        <w:top w:val="none" w:sz="0" w:space="0" w:color="auto"/>
        <w:left w:val="none" w:sz="0" w:space="0" w:color="auto"/>
        <w:bottom w:val="none" w:sz="0" w:space="0" w:color="auto"/>
        <w:right w:val="none" w:sz="0" w:space="0" w:color="auto"/>
      </w:divBdr>
    </w:div>
    <w:div w:id="565918927">
      <w:bodyDiv w:val="1"/>
      <w:marLeft w:val="0"/>
      <w:marRight w:val="0"/>
      <w:marTop w:val="0"/>
      <w:marBottom w:val="0"/>
      <w:divBdr>
        <w:top w:val="none" w:sz="0" w:space="0" w:color="auto"/>
        <w:left w:val="none" w:sz="0" w:space="0" w:color="auto"/>
        <w:bottom w:val="none" w:sz="0" w:space="0" w:color="auto"/>
        <w:right w:val="none" w:sz="0" w:space="0" w:color="auto"/>
      </w:divBdr>
    </w:div>
    <w:div w:id="567961063">
      <w:bodyDiv w:val="1"/>
      <w:marLeft w:val="0"/>
      <w:marRight w:val="0"/>
      <w:marTop w:val="0"/>
      <w:marBottom w:val="0"/>
      <w:divBdr>
        <w:top w:val="none" w:sz="0" w:space="0" w:color="auto"/>
        <w:left w:val="none" w:sz="0" w:space="0" w:color="auto"/>
        <w:bottom w:val="none" w:sz="0" w:space="0" w:color="auto"/>
        <w:right w:val="none" w:sz="0" w:space="0" w:color="auto"/>
      </w:divBdr>
    </w:div>
    <w:div w:id="587424245">
      <w:bodyDiv w:val="1"/>
      <w:marLeft w:val="0"/>
      <w:marRight w:val="0"/>
      <w:marTop w:val="0"/>
      <w:marBottom w:val="0"/>
      <w:divBdr>
        <w:top w:val="none" w:sz="0" w:space="0" w:color="auto"/>
        <w:left w:val="none" w:sz="0" w:space="0" w:color="auto"/>
        <w:bottom w:val="none" w:sz="0" w:space="0" w:color="auto"/>
        <w:right w:val="none" w:sz="0" w:space="0" w:color="auto"/>
      </w:divBdr>
    </w:div>
    <w:div w:id="631910607">
      <w:bodyDiv w:val="1"/>
      <w:marLeft w:val="0"/>
      <w:marRight w:val="0"/>
      <w:marTop w:val="0"/>
      <w:marBottom w:val="0"/>
      <w:divBdr>
        <w:top w:val="none" w:sz="0" w:space="0" w:color="auto"/>
        <w:left w:val="none" w:sz="0" w:space="0" w:color="auto"/>
        <w:bottom w:val="none" w:sz="0" w:space="0" w:color="auto"/>
        <w:right w:val="none" w:sz="0" w:space="0" w:color="auto"/>
      </w:divBdr>
    </w:div>
    <w:div w:id="632172511">
      <w:bodyDiv w:val="1"/>
      <w:marLeft w:val="0"/>
      <w:marRight w:val="0"/>
      <w:marTop w:val="0"/>
      <w:marBottom w:val="0"/>
      <w:divBdr>
        <w:top w:val="none" w:sz="0" w:space="0" w:color="auto"/>
        <w:left w:val="none" w:sz="0" w:space="0" w:color="auto"/>
        <w:bottom w:val="none" w:sz="0" w:space="0" w:color="auto"/>
        <w:right w:val="none" w:sz="0" w:space="0" w:color="auto"/>
      </w:divBdr>
    </w:div>
    <w:div w:id="638805484">
      <w:bodyDiv w:val="1"/>
      <w:marLeft w:val="0"/>
      <w:marRight w:val="0"/>
      <w:marTop w:val="0"/>
      <w:marBottom w:val="0"/>
      <w:divBdr>
        <w:top w:val="none" w:sz="0" w:space="0" w:color="auto"/>
        <w:left w:val="none" w:sz="0" w:space="0" w:color="auto"/>
        <w:bottom w:val="none" w:sz="0" w:space="0" w:color="auto"/>
        <w:right w:val="none" w:sz="0" w:space="0" w:color="auto"/>
      </w:divBdr>
    </w:div>
    <w:div w:id="639575624">
      <w:bodyDiv w:val="1"/>
      <w:marLeft w:val="0"/>
      <w:marRight w:val="0"/>
      <w:marTop w:val="0"/>
      <w:marBottom w:val="0"/>
      <w:divBdr>
        <w:top w:val="none" w:sz="0" w:space="0" w:color="auto"/>
        <w:left w:val="none" w:sz="0" w:space="0" w:color="auto"/>
        <w:bottom w:val="none" w:sz="0" w:space="0" w:color="auto"/>
        <w:right w:val="none" w:sz="0" w:space="0" w:color="auto"/>
      </w:divBdr>
    </w:div>
    <w:div w:id="652609577">
      <w:bodyDiv w:val="1"/>
      <w:marLeft w:val="0"/>
      <w:marRight w:val="0"/>
      <w:marTop w:val="0"/>
      <w:marBottom w:val="0"/>
      <w:divBdr>
        <w:top w:val="none" w:sz="0" w:space="0" w:color="auto"/>
        <w:left w:val="none" w:sz="0" w:space="0" w:color="auto"/>
        <w:bottom w:val="none" w:sz="0" w:space="0" w:color="auto"/>
        <w:right w:val="none" w:sz="0" w:space="0" w:color="auto"/>
      </w:divBdr>
    </w:div>
    <w:div w:id="656350376">
      <w:bodyDiv w:val="1"/>
      <w:marLeft w:val="0"/>
      <w:marRight w:val="0"/>
      <w:marTop w:val="0"/>
      <w:marBottom w:val="0"/>
      <w:divBdr>
        <w:top w:val="none" w:sz="0" w:space="0" w:color="auto"/>
        <w:left w:val="none" w:sz="0" w:space="0" w:color="auto"/>
        <w:bottom w:val="none" w:sz="0" w:space="0" w:color="auto"/>
        <w:right w:val="none" w:sz="0" w:space="0" w:color="auto"/>
      </w:divBdr>
    </w:div>
    <w:div w:id="657266621">
      <w:bodyDiv w:val="1"/>
      <w:marLeft w:val="0"/>
      <w:marRight w:val="0"/>
      <w:marTop w:val="0"/>
      <w:marBottom w:val="0"/>
      <w:divBdr>
        <w:top w:val="none" w:sz="0" w:space="0" w:color="auto"/>
        <w:left w:val="none" w:sz="0" w:space="0" w:color="auto"/>
        <w:bottom w:val="none" w:sz="0" w:space="0" w:color="auto"/>
        <w:right w:val="none" w:sz="0" w:space="0" w:color="auto"/>
      </w:divBdr>
    </w:div>
    <w:div w:id="661544658">
      <w:bodyDiv w:val="1"/>
      <w:marLeft w:val="0"/>
      <w:marRight w:val="0"/>
      <w:marTop w:val="0"/>
      <w:marBottom w:val="0"/>
      <w:divBdr>
        <w:top w:val="none" w:sz="0" w:space="0" w:color="auto"/>
        <w:left w:val="none" w:sz="0" w:space="0" w:color="auto"/>
        <w:bottom w:val="none" w:sz="0" w:space="0" w:color="auto"/>
        <w:right w:val="none" w:sz="0" w:space="0" w:color="auto"/>
      </w:divBdr>
    </w:div>
    <w:div w:id="674184569">
      <w:bodyDiv w:val="1"/>
      <w:marLeft w:val="0"/>
      <w:marRight w:val="0"/>
      <w:marTop w:val="0"/>
      <w:marBottom w:val="0"/>
      <w:divBdr>
        <w:top w:val="none" w:sz="0" w:space="0" w:color="auto"/>
        <w:left w:val="none" w:sz="0" w:space="0" w:color="auto"/>
        <w:bottom w:val="none" w:sz="0" w:space="0" w:color="auto"/>
        <w:right w:val="none" w:sz="0" w:space="0" w:color="auto"/>
      </w:divBdr>
    </w:div>
    <w:div w:id="697195265">
      <w:bodyDiv w:val="1"/>
      <w:marLeft w:val="0"/>
      <w:marRight w:val="0"/>
      <w:marTop w:val="0"/>
      <w:marBottom w:val="0"/>
      <w:divBdr>
        <w:top w:val="none" w:sz="0" w:space="0" w:color="auto"/>
        <w:left w:val="none" w:sz="0" w:space="0" w:color="auto"/>
        <w:bottom w:val="none" w:sz="0" w:space="0" w:color="auto"/>
        <w:right w:val="none" w:sz="0" w:space="0" w:color="auto"/>
      </w:divBdr>
    </w:div>
    <w:div w:id="713121895">
      <w:bodyDiv w:val="1"/>
      <w:marLeft w:val="0"/>
      <w:marRight w:val="0"/>
      <w:marTop w:val="0"/>
      <w:marBottom w:val="0"/>
      <w:divBdr>
        <w:top w:val="none" w:sz="0" w:space="0" w:color="auto"/>
        <w:left w:val="none" w:sz="0" w:space="0" w:color="auto"/>
        <w:bottom w:val="none" w:sz="0" w:space="0" w:color="auto"/>
        <w:right w:val="none" w:sz="0" w:space="0" w:color="auto"/>
      </w:divBdr>
    </w:div>
    <w:div w:id="715006577">
      <w:bodyDiv w:val="1"/>
      <w:marLeft w:val="0"/>
      <w:marRight w:val="0"/>
      <w:marTop w:val="0"/>
      <w:marBottom w:val="0"/>
      <w:divBdr>
        <w:top w:val="none" w:sz="0" w:space="0" w:color="auto"/>
        <w:left w:val="none" w:sz="0" w:space="0" w:color="auto"/>
        <w:bottom w:val="none" w:sz="0" w:space="0" w:color="auto"/>
        <w:right w:val="none" w:sz="0" w:space="0" w:color="auto"/>
      </w:divBdr>
    </w:div>
    <w:div w:id="720514722">
      <w:bodyDiv w:val="1"/>
      <w:marLeft w:val="0"/>
      <w:marRight w:val="0"/>
      <w:marTop w:val="0"/>
      <w:marBottom w:val="0"/>
      <w:divBdr>
        <w:top w:val="none" w:sz="0" w:space="0" w:color="auto"/>
        <w:left w:val="none" w:sz="0" w:space="0" w:color="auto"/>
        <w:bottom w:val="none" w:sz="0" w:space="0" w:color="auto"/>
        <w:right w:val="none" w:sz="0" w:space="0" w:color="auto"/>
      </w:divBdr>
    </w:div>
    <w:div w:id="735051936">
      <w:bodyDiv w:val="1"/>
      <w:marLeft w:val="0"/>
      <w:marRight w:val="0"/>
      <w:marTop w:val="0"/>
      <w:marBottom w:val="0"/>
      <w:divBdr>
        <w:top w:val="none" w:sz="0" w:space="0" w:color="auto"/>
        <w:left w:val="none" w:sz="0" w:space="0" w:color="auto"/>
        <w:bottom w:val="none" w:sz="0" w:space="0" w:color="auto"/>
        <w:right w:val="none" w:sz="0" w:space="0" w:color="auto"/>
      </w:divBdr>
    </w:div>
    <w:div w:id="753631214">
      <w:bodyDiv w:val="1"/>
      <w:marLeft w:val="0"/>
      <w:marRight w:val="0"/>
      <w:marTop w:val="0"/>
      <w:marBottom w:val="0"/>
      <w:divBdr>
        <w:top w:val="none" w:sz="0" w:space="0" w:color="auto"/>
        <w:left w:val="none" w:sz="0" w:space="0" w:color="auto"/>
        <w:bottom w:val="none" w:sz="0" w:space="0" w:color="auto"/>
        <w:right w:val="none" w:sz="0" w:space="0" w:color="auto"/>
      </w:divBdr>
    </w:div>
    <w:div w:id="761729238">
      <w:bodyDiv w:val="1"/>
      <w:marLeft w:val="0"/>
      <w:marRight w:val="0"/>
      <w:marTop w:val="0"/>
      <w:marBottom w:val="0"/>
      <w:divBdr>
        <w:top w:val="none" w:sz="0" w:space="0" w:color="auto"/>
        <w:left w:val="none" w:sz="0" w:space="0" w:color="auto"/>
        <w:bottom w:val="none" w:sz="0" w:space="0" w:color="auto"/>
        <w:right w:val="none" w:sz="0" w:space="0" w:color="auto"/>
      </w:divBdr>
    </w:div>
    <w:div w:id="765225938">
      <w:bodyDiv w:val="1"/>
      <w:marLeft w:val="0"/>
      <w:marRight w:val="0"/>
      <w:marTop w:val="0"/>
      <w:marBottom w:val="0"/>
      <w:divBdr>
        <w:top w:val="none" w:sz="0" w:space="0" w:color="auto"/>
        <w:left w:val="none" w:sz="0" w:space="0" w:color="auto"/>
        <w:bottom w:val="none" w:sz="0" w:space="0" w:color="auto"/>
        <w:right w:val="none" w:sz="0" w:space="0" w:color="auto"/>
      </w:divBdr>
    </w:div>
    <w:div w:id="770128112">
      <w:bodyDiv w:val="1"/>
      <w:marLeft w:val="0"/>
      <w:marRight w:val="0"/>
      <w:marTop w:val="0"/>
      <w:marBottom w:val="0"/>
      <w:divBdr>
        <w:top w:val="none" w:sz="0" w:space="0" w:color="auto"/>
        <w:left w:val="none" w:sz="0" w:space="0" w:color="auto"/>
        <w:bottom w:val="none" w:sz="0" w:space="0" w:color="auto"/>
        <w:right w:val="none" w:sz="0" w:space="0" w:color="auto"/>
      </w:divBdr>
    </w:div>
    <w:div w:id="787315246">
      <w:bodyDiv w:val="1"/>
      <w:marLeft w:val="0"/>
      <w:marRight w:val="0"/>
      <w:marTop w:val="0"/>
      <w:marBottom w:val="0"/>
      <w:divBdr>
        <w:top w:val="none" w:sz="0" w:space="0" w:color="auto"/>
        <w:left w:val="none" w:sz="0" w:space="0" w:color="auto"/>
        <w:bottom w:val="none" w:sz="0" w:space="0" w:color="auto"/>
        <w:right w:val="none" w:sz="0" w:space="0" w:color="auto"/>
      </w:divBdr>
    </w:div>
    <w:div w:id="832600833">
      <w:bodyDiv w:val="1"/>
      <w:marLeft w:val="0"/>
      <w:marRight w:val="0"/>
      <w:marTop w:val="0"/>
      <w:marBottom w:val="0"/>
      <w:divBdr>
        <w:top w:val="none" w:sz="0" w:space="0" w:color="auto"/>
        <w:left w:val="none" w:sz="0" w:space="0" w:color="auto"/>
        <w:bottom w:val="none" w:sz="0" w:space="0" w:color="auto"/>
        <w:right w:val="none" w:sz="0" w:space="0" w:color="auto"/>
      </w:divBdr>
    </w:div>
    <w:div w:id="837354668">
      <w:bodyDiv w:val="1"/>
      <w:marLeft w:val="0"/>
      <w:marRight w:val="0"/>
      <w:marTop w:val="0"/>
      <w:marBottom w:val="0"/>
      <w:divBdr>
        <w:top w:val="none" w:sz="0" w:space="0" w:color="auto"/>
        <w:left w:val="none" w:sz="0" w:space="0" w:color="auto"/>
        <w:bottom w:val="none" w:sz="0" w:space="0" w:color="auto"/>
        <w:right w:val="none" w:sz="0" w:space="0" w:color="auto"/>
      </w:divBdr>
    </w:div>
    <w:div w:id="837695543">
      <w:bodyDiv w:val="1"/>
      <w:marLeft w:val="0"/>
      <w:marRight w:val="0"/>
      <w:marTop w:val="0"/>
      <w:marBottom w:val="0"/>
      <w:divBdr>
        <w:top w:val="none" w:sz="0" w:space="0" w:color="auto"/>
        <w:left w:val="none" w:sz="0" w:space="0" w:color="auto"/>
        <w:bottom w:val="none" w:sz="0" w:space="0" w:color="auto"/>
        <w:right w:val="none" w:sz="0" w:space="0" w:color="auto"/>
      </w:divBdr>
    </w:div>
    <w:div w:id="841432344">
      <w:bodyDiv w:val="1"/>
      <w:marLeft w:val="0"/>
      <w:marRight w:val="0"/>
      <w:marTop w:val="0"/>
      <w:marBottom w:val="0"/>
      <w:divBdr>
        <w:top w:val="none" w:sz="0" w:space="0" w:color="auto"/>
        <w:left w:val="none" w:sz="0" w:space="0" w:color="auto"/>
        <w:bottom w:val="none" w:sz="0" w:space="0" w:color="auto"/>
        <w:right w:val="none" w:sz="0" w:space="0" w:color="auto"/>
      </w:divBdr>
    </w:div>
    <w:div w:id="849488530">
      <w:bodyDiv w:val="1"/>
      <w:marLeft w:val="0"/>
      <w:marRight w:val="0"/>
      <w:marTop w:val="0"/>
      <w:marBottom w:val="0"/>
      <w:divBdr>
        <w:top w:val="none" w:sz="0" w:space="0" w:color="auto"/>
        <w:left w:val="none" w:sz="0" w:space="0" w:color="auto"/>
        <w:bottom w:val="none" w:sz="0" w:space="0" w:color="auto"/>
        <w:right w:val="none" w:sz="0" w:space="0" w:color="auto"/>
      </w:divBdr>
    </w:div>
    <w:div w:id="861363455">
      <w:bodyDiv w:val="1"/>
      <w:marLeft w:val="0"/>
      <w:marRight w:val="0"/>
      <w:marTop w:val="0"/>
      <w:marBottom w:val="0"/>
      <w:divBdr>
        <w:top w:val="none" w:sz="0" w:space="0" w:color="auto"/>
        <w:left w:val="none" w:sz="0" w:space="0" w:color="auto"/>
        <w:bottom w:val="none" w:sz="0" w:space="0" w:color="auto"/>
        <w:right w:val="none" w:sz="0" w:space="0" w:color="auto"/>
      </w:divBdr>
    </w:div>
    <w:div w:id="886986807">
      <w:bodyDiv w:val="1"/>
      <w:marLeft w:val="0"/>
      <w:marRight w:val="0"/>
      <w:marTop w:val="0"/>
      <w:marBottom w:val="0"/>
      <w:divBdr>
        <w:top w:val="none" w:sz="0" w:space="0" w:color="auto"/>
        <w:left w:val="none" w:sz="0" w:space="0" w:color="auto"/>
        <w:bottom w:val="none" w:sz="0" w:space="0" w:color="auto"/>
        <w:right w:val="none" w:sz="0" w:space="0" w:color="auto"/>
      </w:divBdr>
    </w:div>
    <w:div w:id="901407123">
      <w:bodyDiv w:val="1"/>
      <w:marLeft w:val="0"/>
      <w:marRight w:val="0"/>
      <w:marTop w:val="0"/>
      <w:marBottom w:val="0"/>
      <w:divBdr>
        <w:top w:val="none" w:sz="0" w:space="0" w:color="auto"/>
        <w:left w:val="none" w:sz="0" w:space="0" w:color="auto"/>
        <w:bottom w:val="none" w:sz="0" w:space="0" w:color="auto"/>
        <w:right w:val="none" w:sz="0" w:space="0" w:color="auto"/>
      </w:divBdr>
    </w:div>
    <w:div w:id="907883410">
      <w:bodyDiv w:val="1"/>
      <w:marLeft w:val="0"/>
      <w:marRight w:val="0"/>
      <w:marTop w:val="0"/>
      <w:marBottom w:val="0"/>
      <w:divBdr>
        <w:top w:val="none" w:sz="0" w:space="0" w:color="auto"/>
        <w:left w:val="none" w:sz="0" w:space="0" w:color="auto"/>
        <w:bottom w:val="none" w:sz="0" w:space="0" w:color="auto"/>
        <w:right w:val="none" w:sz="0" w:space="0" w:color="auto"/>
      </w:divBdr>
      <w:divsChild>
        <w:div w:id="1363632254">
          <w:marLeft w:val="150"/>
          <w:marRight w:val="0"/>
          <w:marTop w:val="0"/>
          <w:marBottom w:val="0"/>
          <w:divBdr>
            <w:top w:val="none" w:sz="0" w:space="0" w:color="auto"/>
            <w:left w:val="none" w:sz="0" w:space="0" w:color="auto"/>
            <w:bottom w:val="none" w:sz="0" w:space="0" w:color="auto"/>
            <w:right w:val="single" w:sz="6" w:space="8" w:color="0469A3"/>
          </w:divBdr>
          <w:divsChild>
            <w:div w:id="1719012538">
              <w:marLeft w:val="0"/>
              <w:marRight w:val="0"/>
              <w:marTop w:val="0"/>
              <w:marBottom w:val="0"/>
              <w:divBdr>
                <w:top w:val="none" w:sz="0" w:space="0" w:color="auto"/>
                <w:left w:val="none" w:sz="0" w:space="0" w:color="auto"/>
                <w:bottom w:val="none" w:sz="0" w:space="0" w:color="auto"/>
                <w:right w:val="none" w:sz="0" w:space="0" w:color="auto"/>
              </w:divBdr>
              <w:divsChild>
                <w:div w:id="13684897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37058060">
      <w:bodyDiv w:val="1"/>
      <w:marLeft w:val="0"/>
      <w:marRight w:val="0"/>
      <w:marTop w:val="0"/>
      <w:marBottom w:val="0"/>
      <w:divBdr>
        <w:top w:val="none" w:sz="0" w:space="0" w:color="auto"/>
        <w:left w:val="none" w:sz="0" w:space="0" w:color="auto"/>
        <w:bottom w:val="none" w:sz="0" w:space="0" w:color="auto"/>
        <w:right w:val="none" w:sz="0" w:space="0" w:color="auto"/>
      </w:divBdr>
    </w:div>
    <w:div w:id="966551173">
      <w:bodyDiv w:val="1"/>
      <w:marLeft w:val="0"/>
      <w:marRight w:val="0"/>
      <w:marTop w:val="0"/>
      <w:marBottom w:val="0"/>
      <w:divBdr>
        <w:top w:val="none" w:sz="0" w:space="0" w:color="auto"/>
        <w:left w:val="none" w:sz="0" w:space="0" w:color="auto"/>
        <w:bottom w:val="none" w:sz="0" w:space="0" w:color="auto"/>
        <w:right w:val="none" w:sz="0" w:space="0" w:color="auto"/>
      </w:divBdr>
    </w:div>
    <w:div w:id="996490989">
      <w:bodyDiv w:val="1"/>
      <w:marLeft w:val="0"/>
      <w:marRight w:val="0"/>
      <w:marTop w:val="0"/>
      <w:marBottom w:val="0"/>
      <w:divBdr>
        <w:top w:val="none" w:sz="0" w:space="0" w:color="auto"/>
        <w:left w:val="none" w:sz="0" w:space="0" w:color="auto"/>
        <w:bottom w:val="none" w:sz="0" w:space="0" w:color="auto"/>
        <w:right w:val="none" w:sz="0" w:space="0" w:color="auto"/>
      </w:divBdr>
    </w:div>
    <w:div w:id="998270122">
      <w:bodyDiv w:val="1"/>
      <w:marLeft w:val="0"/>
      <w:marRight w:val="0"/>
      <w:marTop w:val="0"/>
      <w:marBottom w:val="0"/>
      <w:divBdr>
        <w:top w:val="none" w:sz="0" w:space="0" w:color="auto"/>
        <w:left w:val="none" w:sz="0" w:space="0" w:color="auto"/>
        <w:bottom w:val="none" w:sz="0" w:space="0" w:color="auto"/>
        <w:right w:val="none" w:sz="0" w:space="0" w:color="auto"/>
      </w:divBdr>
    </w:div>
    <w:div w:id="1006128647">
      <w:bodyDiv w:val="1"/>
      <w:marLeft w:val="0"/>
      <w:marRight w:val="0"/>
      <w:marTop w:val="0"/>
      <w:marBottom w:val="0"/>
      <w:divBdr>
        <w:top w:val="none" w:sz="0" w:space="0" w:color="auto"/>
        <w:left w:val="none" w:sz="0" w:space="0" w:color="auto"/>
        <w:bottom w:val="none" w:sz="0" w:space="0" w:color="auto"/>
        <w:right w:val="none" w:sz="0" w:space="0" w:color="auto"/>
      </w:divBdr>
    </w:div>
    <w:div w:id="1020089337">
      <w:bodyDiv w:val="1"/>
      <w:marLeft w:val="0"/>
      <w:marRight w:val="0"/>
      <w:marTop w:val="0"/>
      <w:marBottom w:val="0"/>
      <w:divBdr>
        <w:top w:val="none" w:sz="0" w:space="0" w:color="auto"/>
        <w:left w:val="none" w:sz="0" w:space="0" w:color="auto"/>
        <w:bottom w:val="none" w:sz="0" w:space="0" w:color="auto"/>
        <w:right w:val="none" w:sz="0" w:space="0" w:color="auto"/>
      </w:divBdr>
    </w:div>
    <w:div w:id="1075124043">
      <w:bodyDiv w:val="1"/>
      <w:marLeft w:val="0"/>
      <w:marRight w:val="0"/>
      <w:marTop w:val="0"/>
      <w:marBottom w:val="0"/>
      <w:divBdr>
        <w:top w:val="none" w:sz="0" w:space="0" w:color="auto"/>
        <w:left w:val="none" w:sz="0" w:space="0" w:color="auto"/>
        <w:bottom w:val="none" w:sz="0" w:space="0" w:color="auto"/>
        <w:right w:val="none" w:sz="0" w:space="0" w:color="auto"/>
      </w:divBdr>
    </w:div>
    <w:div w:id="1091663799">
      <w:bodyDiv w:val="1"/>
      <w:marLeft w:val="0"/>
      <w:marRight w:val="0"/>
      <w:marTop w:val="0"/>
      <w:marBottom w:val="0"/>
      <w:divBdr>
        <w:top w:val="none" w:sz="0" w:space="0" w:color="auto"/>
        <w:left w:val="none" w:sz="0" w:space="0" w:color="auto"/>
        <w:bottom w:val="none" w:sz="0" w:space="0" w:color="auto"/>
        <w:right w:val="none" w:sz="0" w:space="0" w:color="auto"/>
      </w:divBdr>
    </w:div>
    <w:div w:id="1095318564">
      <w:bodyDiv w:val="1"/>
      <w:marLeft w:val="0"/>
      <w:marRight w:val="0"/>
      <w:marTop w:val="0"/>
      <w:marBottom w:val="0"/>
      <w:divBdr>
        <w:top w:val="none" w:sz="0" w:space="0" w:color="auto"/>
        <w:left w:val="none" w:sz="0" w:space="0" w:color="auto"/>
        <w:bottom w:val="none" w:sz="0" w:space="0" w:color="auto"/>
        <w:right w:val="none" w:sz="0" w:space="0" w:color="auto"/>
      </w:divBdr>
    </w:div>
    <w:div w:id="1098135072">
      <w:bodyDiv w:val="1"/>
      <w:marLeft w:val="0"/>
      <w:marRight w:val="0"/>
      <w:marTop w:val="0"/>
      <w:marBottom w:val="0"/>
      <w:divBdr>
        <w:top w:val="none" w:sz="0" w:space="0" w:color="auto"/>
        <w:left w:val="none" w:sz="0" w:space="0" w:color="auto"/>
        <w:bottom w:val="none" w:sz="0" w:space="0" w:color="auto"/>
        <w:right w:val="none" w:sz="0" w:space="0" w:color="auto"/>
      </w:divBdr>
    </w:div>
    <w:div w:id="1115447844">
      <w:bodyDiv w:val="1"/>
      <w:marLeft w:val="0"/>
      <w:marRight w:val="0"/>
      <w:marTop w:val="0"/>
      <w:marBottom w:val="0"/>
      <w:divBdr>
        <w:top w:val="none" w:sz="0" w:space="0" w:color="auto"/>
        <w:left w:val="none" w:sz="0" w:space="0" w:color="auto"/>
        <w:bottom w:val="none" w:sz="0" w:space="0" w:color="auto"/>
        <w:right w:val="none" w:sz="0" w:space="0" w:color="auto"/>
      </w:divBdr>
    </w:div>
    <w:div w:id="1131240538">
      <w:bodyDiv w:val="1"/>
      <w:marLeft w:val="0"/>
      <w:marRight w:val="0"/>
      <w:marTop w:val="0"/>
      <w:marBottom w:val="0"/>
      <w:divBdr>
        <w:top w:val="none" w:sz="0" w:space="0" w:color="auto"/>
        <w:left w:val="none" w:sz="0" w:space="0" w:color="auto"/>
        <w:bottom w:val="none" w:sz="0" w:space="0" w:color="auto"/>
        <w:right w:val="none" w:sz="0" w:space="0" w:color="auto"/>
      </w:divBdr>
    </w:div>
    <w:div w:id="1188568344">
      <w:bodyDiv w:val="1"/>
      <w:marLeft w:val="0"/>
      <w:marRight w:val="0"/>
      <w:marTop w:val="0"/>
      <w:marBottom w:val="0"/>
      <w:divBdr>
        <w:top w:val="none" w:sz="0" w:space="0" w:color="auto"/>
        <w:left w:val="none" w:sz="0" w:space="0" w:color="auto"/>
        <w:bottom w:val="none" w:sz="0" w:space="0" w:color="auto"/>
        <w:right w:val="none" w:sz="0" w:space="0" w:color="auto"/>
      </w:divBdr>
    </w:div>
    <w:div w:id="1189022151">
      <w:bodyDiv w:val="1"/>
      <w:marLeft w:val="0"/>
      <w:marRight w:val="0"/>
      <w:marTop w:val="0"/>
      <w:marBottom w:val="0"/>
      <w:divBdr>
        <w:top w:val="none" w:sz="0" w:space="0" w:color="auto"/>
        <w:left w:val="none" w:sz="0" w:space="0" w:color="auto"/>
        <w:bottom w:val="none" w:sz="0" w:space="0" w:color="auto"/>
        <w:right w:val="none" w:sz="0" w:space="0" w:color="auto"/>
      </w:divBdr>
    </w:div>
    <w:div w:id="1189180020">
      <w:bodyDiv w:val="1"/>
      <w:marLeft w:val="0"/>
      <w:marRight w:val="0"/>
      <w:marTop w:val="0"/>
      <w:marBottom w:val="0"/>
      <w:divBdr>
        <w:top w:val="none" w:sz="0" w:space="0" w:color="auto"/>
        <w:left w:val="none" w:sz="0" w:space="0" w:color="auto"/>
        <w:bottom w:val="none" w:sz="0" w:space="0" w:color="auto"/>
        <w:right w:val="none" w:sz="0" w:space="0" w:color="auto"/>
      </w:divBdr>
    </w:div>
    <w:div w:id="1203251407">
      <w:bodyDiv w:val="1"/>
      <w:marLeft w:val="0"/>
      <w:marRight w:val="0"/>
      <w:marTop w:val="0"/>
      <w:marBottom w:val="0"/>
      <w:divBdr>
        <w:top w:val="none" w:sz="0" w:space="0" w:color="auto"/>
        <w:left w:val="none" w:sz="0" w:space="0" w:color="auto"/>
        <w:bottom w:val="none" w:sz="0" w:space="0" w:color="auto"/>
        <w:right w:val="none" w:sz="0" w:space="0" w:color="auto"/>
      </w:divBdr>
      <w:divsChild>
        <w:div w:id="1267738942">
          <w:blockQuote w:val="1"/>
          <w:marLeft w:val="600"/>
          <w:marRight w:val="600"/>
          <w:marTop w:val="240"/>
          <w:marBottom w:val="240"/>
          <w:divBdr>
            <w:top w:val="none" w:sz="0" w:space="0" w:color="auto"/>
            <w:left w:val="none" w:sz="0" w:space="0" w:color="auto"/>
            <w:bottom w:val="none" w:sz="0" w:space="0" w:color="auto"/>
            <w:right w:val="none" w:sz="0" w:space="0" w:color="auto"/>
          </w:divBdr>
        </w:div>
        <w:div w:id="190608653">
          <w:blockQuote w:val="1"/>
          <w:marLeft w:val="600"/>
          <w:marRight w:val="600"/>
          <w:marTop w:val="240"/>
          <w:marBottom w:val="240"/>
          <w:divBdr>
            <w:top w:val="none" w:sz="0" w:space="0" w:color="auto"/>
            <w:left w:val="none" w:sz="0" w:space="0" w:color="auto"/>
            <w:bottom w:val="none" w:sz="0" w:space="0" w:color="auto"/>
            <w:right w:val="none" w:sz="0" w:space="0" w:color="auto"/>
          </w:divBdr>
        </w:div>
        <w:div w:id="22558888">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221555026">
      <w:bodyDiv w:val="1"/>
      <w:marLeft w:val="0"/>
      <w:marRight w:val="0"/>
      <w:marTop w:val="0"/>
      <w:marBottom w:val="0"/>
      <w:divBdr>
        <w:top w:val="none" w:sz="0" w:space="0" w:color="auto"/>
        <w:left w:val="none" w:sz="0" w:space="0" w:color="auto"/>
        <w:bottom w:val="none" w:sz="0" w:space="0" w:color="auto"/>
        <w:right w:val="none" w:sz="0" w:space="0" w:color="auto"/>
      </w:divBdr>
    </w:div>
    <w:div w:id="1241528069">
      <w:bodyDiv w:val="1"/>
      <w:marLeft w:val="0"/>
      <w:marRight w:val="0"/>
      <w:marTop w:val="0"/>
      <w:marBottom w:val="0"/>
      <w:divBdr>
        <w:top w:val="none" w:sz="0" w:space="0" w:color="auto"/>
        <w:left w:val="none" w:sz="0" w:space="0" w:color="auto"/>
        <w:bottom w:val="none" w:sz="0" w:space="0" w:color="auto"/>
        <w:right w:val="none" w:sz="0" w:space="0" w:color="auto"/>
      </w:divBdr>
    </w:div>
    <w:div w:id="1242064224">
      <w:bodyDiv w:val="1"/>
      <w:marLeft w:val="0"/>
      <w:marRight w:val="0"/>
      <w:marTop w:val="0"/>
      <w:marBottom w:val="0"/>
      <w:divBdr>
        <w:top w:val="none" w:sz="0" w:space="0" w:color="auto"/>
        <w:left w:val="none" w:sz="0" w:space="0" w:color="auto"/>
        <w:bottom w:val="none" w:sz="0" w:space="0" w:color="auto"/>
        <w:right w:val="none" w:sz="0" w:space="0" w:color="auto"/>
      </w:divBdr>
    </w:div>
    <w:div w:id="1246692539">
      <w:bodyDiv w:val="1"/>
      <w:marLeft w:val="0"/>
      <w:marRight w:val="0"/>
      <w:marTop w:val="0"/>
      <w:marBottom w:val="0"/>
      <w:divBdr>
        <w:top w:val="none" w:sz="0" w:space="0" w:color="auto"/>
        <w:left w:val="none" w:sz="0" w:space="0" w:color="auto"/>
        <w:bottom w:val="none" w:sz="0" w:space="0" w:color="auto"/>
        <w:right w:val="none" w:sz="0" w:space="0" w:color="auto"/>
      </w:divBdr>
    </w:div>
    <w:div w:id="1257403921">
      <w:bodyDiv w:val="1"/>
      <w:marLeft w:val="0"/>
      <w:marRight w:val="0"/>
      <w:marTop w:val="0"/>
      <w:marBottom w:val="0"/>
      <w:divBdr>
        <w:top w:val="none" w:sz="0" w:space="0" w:color="auto"/>
        <w:left w:val="none" w:sz="0" w:space="0" w:color="auto"/>
        <w:bottom w:val="none" w:sz="0" w:space="0" w:color="auto"/>
        <w:right w:val="none" w:sz="0" w:space="0" w:color="auto"/>
      </w:divBdr>
    </w:div>
    <w:div w:id="1264461643">
      <w:bodyDiv w:val="1"/>
      <w:marLeft w:val="0"/>
      <w:marRight w:val="0"/>
      <w:marTop w:val="0"/>
      <w:marBottom w:val="0"/>
      <w:divBdr>
        <w:top w:val="none" w:sz="0" w:space="0" w:color="auto"/>
        <w:left w:val="none" w:sz="0" w:space="0" w:color="auto"/>
        <w:bottom w:val="none" w:sz="0" w:space="0" w:color="auto"/>
        <w:right w:val="none" w:sz="0" w:space="0" w:color="auto"/>
      </w:divBdr>
    </w:div>
    <w:div w:id="1274552967">
      <w:bodyDiv w:val="1"/>
      <w:marLeft w:val="0"/>
      <w:marRight w:val="0"/>
      <w:marTop w:val="0"/>
      <w:marBottom w:val="0"/>
      <w:divBdr>
        <w:top w:val="none" w:sz="0" w:space="0" w:color="auto"/>
        <w:left w:val="none" w:sz="0" w:space="0" w:color="auto"/>
        <w:bottom w:val="none" w:sz="0" w:space="0" w:color="auto"/>
        <w:right w:val="none" w:sz="0" w:space="0" w:color="auto"/>
      </w:divBdr>
    </w:div>
    <w:div w:id="1295525294">
      <w:bodyDiv w:val="1"/>
      <w:marLeft w:val="0"/>
      <w:marRight w:val="0"/>
      <w:marTop w:val="0"/>
      <w:marBottom w:val="0"/>
      <w:divBdr>
        <w:top w:val="none" w:sz="0" w:space="0" w:color="auto"/>
        <w:left w:val="none" w:sz="0" w:space="0" w:color="auto"/>
        <w:bottom w:val="none" w:sz="0" w:space="0" w:color="auto"/>
        <w:right w:val="none" w:sz="0" w:space="0" w:color="auto"/>
      </w:divBdr>
    </w:div>
    <w:div w:id="1343895939">
      <w:bodyDiv w:val="1"/>
      <w:marLeft w:val="0"/>
      <w:marRight w:val="0"/>
      <w:marTop w:val="0"/>
      <w:marBottom w:val="0"/>
      <w:divBdr>
        <w:top w:val="none" w:sz="0" w:space="0" w:color="auto"/>
        <w:left w:val="none" w:sz="0" w:space="0" w:color="auto"/>
        <w:bottom w:val="none" w:sz="0" w:space="0" w:color="auto"/>
        <w:right w:val="none" w:sz="0" w:space="0" w:color="auto"/>
      </w:divBdr>
    </w:div>
    <w:div w:id="1367756360">
      <w:bodyDiv w:val="1"/>
      <w:marLeft w:val="0"/>
      <w:marRight w:val="0"/>
      <w:marTop w:val="0"/>
      <w:marBottom w:val="0"/>
      <w:divBdr>
        <w:top w:val="none" w:sz="0" w:space="0" w:color="auto"/>
        <w:left w:val="none" w:sz="0" w:space="0" w:color="auto"/>
        <w:bottom w:val="none" w:sz="0" w:space="0" w:color="auto"/>
        <w:right w:val="none" w:sz="0" w:space="0" w:color="auto"/>
      </w:divBdr>
    </w:div>
    <w:div w:id="1392465824">
      <w:bodyDiv w:val="1"/>
      <w:marLeft w:val="0"/>
      <w:marRight w:val="0"/>
      <w:marTop w:val="0"/>
      <w:marBottom w:val="0"/>
      <w:divBdr>
        <w:top w:val="none" w:sz="0" w:space="0" w:color="auto"/>
        <w:left w:val="none" w:sz="0" w:space="0" w:color="auto"/>
        <w:bottom w:val="none" w:sz="0" w:space="0" w:color="auto"/>
        <w:right w:val="none" w:sz="0" w:space="0" w:color="auto"/>
      </w:divBdr>
    </w:div>
    <w:div w:id="1396977849">
      <w:bodyDiv w:val="1"/>
      <w:marLeft w:val="0"/>
      <w:marRight w:val="0"/>
      <w:marTop w:val="0"/>
      <w:marBottom w:val="0"/>
      <w:divBdr>
        <w:top w:val="none" w:sz="0" w:space="0" w:color="auto"/>
        <w:left w:val="none" w:sz="0" w:space="0" w:color="auto"/>
        <w:bottom w:val="none" w:sz="0" w:space="0" w:color="auto"/>
        <w:right w:val="none" w:sz="0" w:space="0" w:color="auto"/>
      </w:divBdr>
    </w:div>
    <w:div w:id="1410271608">
      <w:bodyDiv w:val="1"/>
      <w:marLeft w:val="0"/>
      <w:marRight w:val="0"/>
      <w:marTop w:val="0"/>
      <w:marBottom w:val="0"/>
      <w:divBdr>
        <w:top w:val="none" w:sz="0" w:space="0" w:color="auto"/>
        <w:left w:val="none" w:sz="0" w:space="0" w:color="auto"/>
        <w:bottom w:val="none" w:sz="0" w:space="0" w:color="auto"/>
        <w:right w:val="none" w:sz="0" w:space="0" w:color="auto"/>
      </w:divBdr>
    </w:div>
    <w:div w:id="1415123669">
      <w:bodyDiv w:val="1"/>
      <w:marLeft w:val="0"/>
      <w:marRight w:val="0"/>
      <w:marTop w:val="0"/>
      <w:marBottom w:val="0"/>
      <w:divBdr>
        <w:top w:val="none" w:sz="0" w:space="0" w:color="auto"/>
        <w:left w:val="none" w:sz="0" w:space="0" w:color="auto"/>
        <w:bottom w:val="none" w:sz="0" w:space="0" w:color="auto"/>
        <w:right w:val="none" w:sz="0" w:space="0" w:color="auto"/>
      </w:divBdr>
    </w:div>
    <w:div w:id="1441677396">
      <w:bodyDiv w:val="1"/>
      <w:marLeft w:val="0"/>
      <w:marRight w:val="0"/>
      <w:marTop w:val="0"/>
      <w:marBottom w:val="0"/>
      <w:divBdr>
        <w:top w:val="none" w:sz="0" w:space="0" w:color="auto"/>
        <w:left w:val="none" w:sz="0" w:space="0" w:color="auto"/>
        <w:bottom w:val="none" w:sz="0" w:space="0" w:color="auto"/>
        <w:right w:val="none" w:sz="0" w:space="0" w:color="auto"/>
      </w:divBdr>
    </w:div>
    <w:div w:id="1445729301">
      <w:bodyDiv w:val="1"/>
      <w:marLeft w:val="0"/>
      <w:marRight w:val="0"/>
      <w:marTop w:val="0"/>
      <w:marBottom w:val="0"/>
      <w:divBdr>
        <w:top w:val="none" w:sz="0" w:space="0" w:color="auto"/>
        <w:left w:val="none" w:sz="0" w:space="0" w:color="auto"/>
        <w:bottom w:val="none" w:sz="0" w:space="0" w:color="auto"/>
        <w:right w:val="none" w:sz="0" w:space="0" w:color="auto"/>
      </w:divBdr>
    </w:div>
    <w:div w:id="1453595038">
      <w:bodyDiv w:val="1"/>
      <w:marLeft w:val="0"/>
      <w:marRight w:val="0"/>
      <w:marTop w:val="0"/>
      <w:marBottom w:val="0"/>
      <w:divBdr>
        <w:top w:val="none" w:sz="0" w:space="0" w:color="auto"/>
        <w:left w:val="none" w:sz="0" w:space="0" w:color="auto"/>
        <w:bottom w:val="none" w:sz="0" w:space="0" w:color="auto"/>
        <w:right w:val="none" w:sz="0" w:space="0" w:color="auto"/>
      </w:divBdr>
    </w:div>
    <w:div w:id="1511484455">
      <w:bodyDiv w:val="1"/>
      <w:marLeft w:val="0"/>
      <w:marRight w:val="0"/>
      <w:marTop w:val="0"/>
      <w:marBottom w:val="0"/>
      <w:divBdr>
        <w:top w:val="none" w:sz="0" w:space="0" w:color="auto"/>
        <w:left w:val="none" w:sz="0" w:space="0" w:color="auto"/>
        <w:bottom w:val="none" w:sz="0" w:space="0" w:color="auto"/>
        <w:right w:val="none" w:sz="0" w:space="0" w:color="auto"/>
      </w:divBdr>
    </w:div>
    <w:div w:id="1512910957">
      <w:bodyDiv w:val="1"/>
      <w:marLeft w:val="0"/>
      <w:marRight w:val="0"/>
      <w:marTop w:val="0"/>
      <w:marBottom w:val="0"/>
      <w:divBdr>
        <w:top w:val="none" w:sz="0" w:space="0" w:color="auto"/>
        <w:left w:val="none" w:sz="0" w:space="0" w:color="auto"/>
        <w:bottom w:val="none" w:sz="0" w:space="0" w:color="auto"/>
        <w:right w:val="none" w:sz="0" w:space="0" w:color="auto"/>
      </w:divBdr>
    </w:div>
    <w:div w:id="1563563648">
      <w:bodyDiv w:val="1"/>
      <w:marLeft w:val="0"/>
      <w:marRight w:val="0"/>
      <w:marTop w:val="0"/>
      <w:marBottom w:val="0"/>
      <w:divBdr>
        <w:top w:val="none" w:sz="0" w:space="0" w:color="auto"/>
        <w:left w:val="none" w:sz="0" w:space="0" w:color="auto"/>
        <w:bottom w:val="none" w:sz="0" w:space="0" w:color="auto"/>
        <w:right w:val="none" w:sz="0" w:space="0" w:color="auto"/>
      </w:divBdr>
    </w:div>
    <w:div w:id="1628504618">
      <w:bodyDiv w:val="1"/>
      <w:marLeft w:val="0"/>
      <w:marRight w:val="0"/>
      <w:marTop w:val="0"/>
      <w:marBottom w:val="0"/>
      <w:divBdr>
        <w:top w:val="none" w:sz="0" w:space="0" w:color="auto"/>
        <w:left w:val="none" w:sz="0" w:space="0" w:color="auto"/>
        <w:bottom w:val="none" w:sz="0" w:space="0" w:color="auto"/>
        <w:right w:val="none" w:sz="0" w:space="0" w:color="auto"/>
      </w:divBdr>
    </w:div>
    <w:div w:id="1665818683">
      <w:bodyDiv w:val="1"/>
      <w:marLeft w:val="0"/>
      <w:marRight w:val="0"/>
      <w:marTop w:val="0"/>
      <w:marBottom w:val="0"/>
      <w:divBdr>
        <w:top w:val="none" w:sz="0" w:space="0" w:color="auto"/>
        <w:left w:val="none" w:sz="0" w:space="0" w:color="auto"/>
        <w:bottom w:val="none" w:sz="0" w:space="0" w:color="auto"/>
        <w:right w:val="none" w:sz="0" w:space="0" w:color="auto"/>
      </w:divBdr>
      <w:divsChild>
        <w:div w:id="1370062342">
          <w:blockQuote w:val="1"/>
          <w:marLeft w:val="600"/>
          <w:marRight w:val="600"/>
          <w:marTop w:val="240"/>
          <w:marBottom w:val="240"/>
          <w:divBdr>
            <w:top w:val="none" w:sz="0" w:space="0" w:color="auto"/>
            <w:left w:val="none" w:sz="0" w:space="0" w:color="auto"/>
            <w:bottom w:val="none" w:sz="0" w:space="0" w:color="auto"/>
            <w:right w:val="none" w:sz="0" w:space="0" w:color="auto"/>
          </w:divBdr>
        </w:div>
        <w:div w:id="683364771">
          <w:blockQuote w:val="1"/>
          <w:marLeft w:val="600"/>
          <w:marRight w:val="600"/>
          <w:marTop w:val="240"/>
          <w:marBottom w:val="240"/>
          <w:divBdr>
            <w:top w:val="none" w:sz="0" w:space="0" w:color="auto"/>
            <w:left w:val="none" w:sz="0" w:space="0" w:color="auto"/>
            <w:bottom w:val="none" w:sz="0" w:space="0" w:color="auto"/>
            <w:right w:val="none" w:sz="0" w:space="0" w:color="auto"/>
          </w:divBdr>
        </w:div>
        <w:div w:id="424349395">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669409205">
      <w:bodyDiv w:val="1"/>
      <w:marLeft w:val="0"/>
      <w:marRight w:val="0"/>
      <w:marTop w:val="0"/>
      <w:marBottom w:val="0"/>
      <w:divBdr>
        <w:top w:val="none" w:sz="0" w:space="0" w:color="auto"/>
        <w:left w:val="none" w:sz="0" w:space="0" w:color="auto"/>
        <w:bottom w:val="none" w:sz="0" w:space="0" w:color="auto"/>
        <w:right w:val="none" w:sz="0" w:space="0" w:color="auto"/>
      </w:divBdr>
    </w:div>
    <w:div w:id="1675524264">
      <w:bodyDiv w:val="1"/>
      <w:marLeft w:val="0"/>
      <w:marRight w:val="0"/>
      <w:marTop w:val="0"/>
      <w:marBottom w:val="0"/>
      <w:divBdr>
        <w:top w:val="none" w:sz="0" w:space="0" w:color="auto"/>
        <w:left w:val="none" w:sz="0" w:space="0" w:color="auto"/>
        <w:bottom w:val="none" w:sz="0" w:space="0" w:color="auto"/>
        <w:right w:val="none" w:sz="0" w:space="0" w:color="auto"/>
      </w:divBdr>
    </w:div>
    <w:div w:id="1729956201">
      <w:bodyDiv w:val="1"/>
      <w:marLeft w:val="0"/>
      <w:marRight w:val="0"/>
      <w:marTop w:val="0"/>
      <w:marBottom w:val="0"/>
      <w:divBdr>
        <w:top w:val="none" w:sz="0" w:space="0" w:color="auto"/>
        <w:left w:val="none" w:sz="0" w:space="0" w:color="auto"/>
        <w:bottom w:val="none" w:sz="0" w:space="0" w:color="auto"/>
        <w:right w:val="none" w:sz="0" w:space="0" w:color="auto"/>
      </w:divBdr>
    </w:div>
    <w:div w:id="1739208350">
      <w:bodyDiv w:val="1"/>
      <w:marLeft w:val="0"/>
      <w:marRight w:val="0"/>
      <w:marTop w:val="0"/>
      <w:marBottom w:val="0"/>
      <w:divBdr>
        <w:top w:val="none" w:sz="0" w:space="0" w:color="auto"/>
        <w:left w:val="none" w:sz="0" w:space="0" w:color="auto"/>
        <w:bottom w:val="none" w:sz="0" w:space="0" w:color="auto"/>
        <w:right w:val="none" w:sz="0" w:space="0" w:color="auto"/>
      </w:divBdr>
    </w:div>
    <w:div w:id="1756440376">
      <w:bodyDiv w:val="1"/>
      <w:marLeft w:val="0"/>
      <w:marRight w:val="0"/>
      <w:marTop w:val="0"/>
      <w:marBottom w:val="0"/>
      <w:divBdr>
        <w:top w:val="none" w:sz="0" w:space="0" w:color="auto"/>
        <w:left w:val="none" w:sz="0" w:space="0" w:color="auto"/>
        <w:bottom w:val="none" w:sz="0" w:space="0" w:color="auto"/>
        <w:right w:val="none" w:sz="0" w:space="0" w:color="auto"/>
      </w:divBdr>
    </w:div>
    <w:div w:id="1773814566">
      <w:bodyDiv w:val="1"/>
      <w:marLeft w:val="0"/>
      <w:marRight w:val="0"/>
      <w:marTop w:val="0"/>
      <w:marBottom w:val="0"/>
      <w:divBdr>
        <w:top w:val="none" w:sz="0" w:space="0" w:color="auto"/>
        <w:left w:val="none" w:sz="0" w:space="0" w:color="auto"/>
        <w:bottom w:val="none" w:sz="0" w:space="0" w:color="auto"/>
        <w:right w:val="none" w:sz="0" w:space="0" w:color="auto"/>
      </w:divBdr>
    </w:div>
    <w:div w:id="1783182832">
      <w:bodyDiv w:val="1"/>
      <w:marLeft w:val="0"/>
      <w:marRight w:val="0"/>
      <w:marTop w:val="0"/>
      <w:marBottom w:val="0"/>
      <w:divBdr>
        <w:top w:val="none" w:sz="0" w:space="0" w:color="auto"/>
        <w:left w:val="none" w:sz="0" w:space="0" w:color="auto"/>
        <w:bottom w:val="none" w:sz="0" w:space="0" w:color="auto"/>
        <w:right w:val="none" w:sz="0" w:space="0" w:color="auto"/>
      </w:divBdr>
    </w:div>
    <w:div w:id="1791312741">
      <w:bodyDiv w:val="1"/>
      <w:marLeft w:val="0"/>
      <w:marRight w:val="0"/>
      <w:marTop w:val="0"/>
      <w:marBottom w:val="0"/>
      <w:divBdr>
        <w:top w:val="none" w:sz="0" w:space="0" w:color="auto"/>
        <w:left w:val="none" w:sz="0" w:space="0" w:color="auto"/>
        <w:bottom w:val="none" w:sz="0" w:space="0" w:color="auto"/>
        <w:right w:val="none" w:sz="0" w:space="0" w:color="auto"/>
      </w:divBdr>
    </w:div>
    <w:div w:id="1844660143">
      <w:bodyDiv w:val="1"/>
      <w:marLeft w:val="0"/>
      <w:marRight w:val="0"/>
      <w:marTop w:val="0"/>
      <w:marBottom w:val="0"/>
      <w:divBdr>
        <w:top w:val="none" w:sz="0" w:space="0" w:color="auto"/>
        <w:left w:val="none" w:sz="0" w:space="0" w:color="auto"/>
        <w:bottom w:val="none" w:sz="0" w:space="0" w:color="auto"/>
        <w:right w:val="none" w:sz="0" w:space="0" w:color="auto"/>
      </w:divBdr>
    </w:div>
    <w:div w:id="1852447041">
      <w:bodyDiv w:val="1"/>
      <w:marLeft w:val="0"/>
      <w:marRight w:val="0"/>
      <w:marTop w:val="0"/>
      <w:marBottom w:val="0"/>
      <w:divBdr>
        <w:top w:val="none" w:sz="0" w:space="0" w:color="auto"/>
        <w:left w:val="none" w:sz="0" w:space="0" w:color="auto"/>
        <w:bottom w:val="none" w:sz="0" w:space="0" w:color="auto"/>
        <w:right w:val="none" w:sz="0" w:space="0" w:color="auto"/>
      </w:divBdr>
    </w:div>
    <w:div w:id="1852599766">
      <w:bodyDiv w:val="1"/>
      <w:marLeft w:val="0"/>
      <w:marRight w:val="0"/>
      <w:marTop w:val="0"/>
      <w:marBottom w:val="0"/>
      <w:divBdr>
        <w:top w:val="none" w:sz="0" w:space="0" w:color="auto"/>
        <w:left w:val="none" w:sz="0" w:space="0" w:color="auto"/>
        <w:bottom w:val="none" w:sz="0" w:space="0" w:color="auto"/>
        <w:right w:val="none" w:sz="0" w:space="0" w:color="auto"/>
      </w:divBdr>
    </w:div>
    <w:div w:id="1865098571">
      <w:bodyDiv w:val="1"/>
      <w:marLeft w:val="0"/>
      <w:marRight w:val="0"/>
      <w:marTop w:val="0"/>
      <w:marBottom w:val="0"/>
      <w:divBdr>
        <w:top w:val="none" w:sz="0" w:space="0" w:color="auto"/>
        <w:left w:val="none" w:sz="0" w:space="0" w:color="auto"/>
        <w:bottom w:val="none" w:sz="0" w:space="0" w:color="auto"/>
        <w:right w:val="none" w:sz="0" w:space="0" w:color="auto"/>
      </w:divBdr>
    </w:div>
    <w:div w:id="1872956208">
      <w:bodyDiv w:val="1"/>
      <w:marLeft w:val="0"/>
      <w:marRight w:val="0"/>
      <w:marTop w:val="0"/>
      <w:marBottom w:val="0"/>
      <w:divBdr>
        <w:top w:val="none" w:sz="0" w:space="0" w:color="auto"/>
        <w:left w:val="none" w:sz="0" w:space="0" w:color="auto"/>
        <w:bottom w:val="none" w:sz="0" w:space="0" w:color="auto"/>
        <w:right w:val="none" w:sz="0" w:space="0" w:color="auto"/>
      </w:divBdr>
    </w:div>
    <w:div w:id="1890074537">
      <w:bodyDiv w:val="1"/>
      <w:marLeft w:val="0"/>
      <w:marRight w:val="0"/>
      <w:marTop w:val="0"/>
      <w:marBottom w:val="0"/>
      <w:divBdr>
        <w:top w:val="none" w:sz="0" w:space="0" w:color="auto"/>
        <w:left w:val="none" w:sz="0" w:space="0" w:color="auto"/>
        <w:bottom w:val="none" w:sz="0" w:space="0" w:color="auto"/>
        <w:right w:val="none" w:sz="0" w:space="0" w:color="auto"/>
      </w:divBdr>
    </w:div>
    <w:div w:id="1908491040">
      <w:bodyDiv w:val="1"/>
      <w:marLeft w:val="0"/>
      <w:marRight w:val="0"/>
      <w:marTop w:val="0"/>
      <w:marBottom w:val="0"/>
      <w:divBdr>
        <w:top w:val="none" w:sz="0" w:space="0" w:color="auto"/>
        <w:left w:val="none" w:sz="0" w:space="0" w:color="auto"/>
        <w:bottom w:val="none" w:sz="0" w:space="0" w:color="auto"/>
        <w:right w:val="none" w:sz="0" w:space="0" w:color="auto"/>
      </w:divBdr>
    </w:div>
    <w:div w:id="1971979823">
      <w:bodyDiv w:val="1"/>
      <w:marLeft w:val="0"/>
      <w:marRight w:val="0"/>
      <w:marTop w:val="0"/>
      <w:marBottom w:val="0"/>
      <w:divBdr>
        <w:top w:val="none" w:sz="0" w:space="0" w:color="auto"/>
        <w:left w:val="none" w:sz="0" w:space="0" w:color="auto"/>
        <w:bottom w:val="none" w:sz="0" w:space="0" w:color="auto"/>
        <w:right w:val="none" w:sz="0" w:space="0" w:color="auto"/>
      </w:divBdr>
    </w:div>
    <w:div w:id="2009167303">
      <w:bodyDiv w:val="1"/>
      <w:marLeft w:val="0"/>
      <w:marRight w:val="0"/>
      <w:marTop w:val="0"/>
      <w:marBottom w:val="0"/>
      <w:divBdr>
        <w:top w:val="none" w:sz="0" w:space="0" w:color="auto"/>
        <w:left w:val="none" w:sz="0" w:space="0" w:color="auto"/>
        <w:bottom w:val="none" w:sz="0" w:space="0" w:color="auto"/>
        <w:right w:val="none" w:sz="0" w:space="0" w:color="auto"/>
      </w:divBdr>
    </w:div>
    <w:div w:id="2014184872">
      <w:bodyDiv w:val="1"/>
      <w:marLeft w:val="0"/>
      <w:marRight w:val="0"/>
      <w:marTop w:val="0"/>
      <w:marBottom w:val="0"/>
      <w:divBdr>
        <w:top w:val="none" w:sz="0" w:space="0" w:color="auto"/>
        <w:left w:val="none" w:sz="0" w:space="0" w:color="auto"/>
        <w:bottom w:val="none" w:sz="0" w:space="0" w:color="auto"/>
        <w:right w:val="none" w:sz="0" w:space="0" w:color="auto"/>
      </w:divBdr>
    </w:div>
    <w:div w:id="2027094075">
      <w:bodyDiv w:val="1"/>
      <w:marLeft w:val="0"/>
      <w:marRight w:val="0"/>
      <w:marTop w:val="0"/>
      <w:marBottom w:val="0"/>
      <w:divBdr>
        <w:top w:val="none" w:sz="0" w:space="0" w:color="auto"/>
        <w:left w:val="none" w:sz="0" w:space="0" w:color="auto"/>
        <w:bottom w:val="none" w:sz="0" w:space="0" w:color="auto"/>
        <w:right w:val="none" w:sz="0" w:space="0" w:color="auto"/>
      </w:divBdr>
    </w:div>
    <w:div w:id="2085834400">
      <w:bodyDiv w:val="1"/>
      <w:marLeft w:val="0"/>
      <w:marRight w:val="0"/>
      <w:marTop w:val="0"/>
      <w:marBottom w:val="0"/>
      <w:divBdr>
        <w:top w:val="none" w:sz="0" w:space="0" w:color="auto"/>
        <w:left w:val="none" w:sz="0" w:space="0" w:color="auto"/>
        <w:bottom w:val="none" w:sz="0" w:space="0" w:color="auto"/>
        <w:right w:val="none" w:sz="0" w:space="0" w:color="auto"/>
      </w:divBdr>
    </w:div>
    <w:div w:id="2089963273">
      <w:bodyDiv w:val="1"/>
      <w:marLeft w:val="0"/>
      <w:marRight w:val="0"/>
      <w:marTop w:val="0"/>
      <w:marBottom w:val="0"/>
      <w:divBdr>
        <w:top w:val="none" w:sz="0" w:space="0" w:color="auto"/>
        <w:left w:val="none" w:sz="0" w:space="0" w:color="auto"/>
        <w:bottom w:val="none" w:sz="0" w:space="0" w:color="auto"/>
        <w:right w:val="none" w:sz="0" w:space="0" w:color="auto"/>
      </w:divBdr>
    </w:div>
    <w:div w:id="2091654621">
      <w:bodyDiv w:val="1"/>
      <w:marLeft w:val="0"/>
      <w:marRight w:val="0"/>
      <w:marTop w:val="0"/>
      <w:marBottom w:val="0"/>
      <w:divBdr>
        <w:top w:val="none" w:sz="0" w:space="0" w:color="auto"/>
        <w:left w:val="none" w:sz="0" w:space="0" w:color="auto"/>
        <w:bottom w:val="none" w:sz="0" w:space="0" w:color="auto"/>
        <w:right w:val="none" w:sz="0" w:space="0" w:color="auto"/>
      </w:divBdr>
    </w:div>
    <w:div w:id="2101172516">
      <w:bodyDiv w:val="1"/>
      <w:marLeft w:val="0"/>
      <w:marRight w:val="0"/>
      <w:marTop w:val="0"/>
      <w:marBottom w:val="0"/>
      <w:divBdr>
        <w:top w:val="none" w:sz="0" w:space="0" w:color="auto"/>
        <w:left w:val="none" w:sz="0" w:space="0" w:color="auto"/>
        <w:bottom w:val="none" w:sz="0" w:space="0" w:color="auto"/>
        <w:right w:val="none" w:sz="0" w:space="0" w:color="auto"/>
      </w:divBdr>
    </w:div>
    <w:div w:id="2106539397">
      <w:bodyDiv w:val="1"/>
      <w:marLeft w:val="0"/>
      <w:marRight w:val="0"/>
      <w:marTop w:val="0"/>
      <w:marBottom w:val="0"/>
      <w:divBdr>
        <w:top w:val="none" w:sz="0" w:space="0" w:color="auto"/>
        <w:left w:val="none" w:sz="0" w:space="0" w:color="auto"/>
        <w:bottom w:val="none" w:sz="0" w:space="0" w:color="auto"/>
        <w:right w:val="none" w:sz="0" w:space="0" w:color="auto"/>
      </w:divBdr>
    </w:div>
    <w:div w:id="2114401614">
      <w:bodyDiv w:val="1"/>
      <w:marLeft w:val="0"/>
      <w:marRight w:val="0"/>
      <w:marTop w:val="0"/>
      <w:marBottom w:val="0"/>
      <w:divBdr>
        <w:top w:val="none" w:sz="0" w:space="0" w:color="auto"/>
        <w:left w:val="none" w:sz="0" w:space="0" w:color="auto"/>
        <w:bottom w:val="none" w:sz="0" w:space="0" w:color="auto"/>
        <w:right w:val="none" w:sz="0" w:space="0" w:color="auto"/>
      </w:divBdr>
    </w:div>
    <w:div w:id="212881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bidocs.rbi.org.in/rdocs/content/pdfs/GN3RFEMA01082022.pdf" TargetMode="External"/><Relationship Id="rId18" Type="http://schemas.openxmlformats.org/officeDocument/2006/relationships/hyperlink" Target="https://rbidocs.rbi.org.in/rdocs/content/pdfs/GazetteRules23082022.pdf" TargetMode="External"/><Relationship Id="rId26" Type="http://schemas.openxmlformats.org/officeDocument/2006/relationships/hyperlink" Target="https://www.rbi.org.in/Scripts/BS_PressReleaseDisplay.aspx?prid=54187" TargetMode="External"/><Relationship Id="rId39" Type="http://schemas.openxmlformats.org/officeDocument/2006/relationships/hyperlink" Target="https://www.rbi.org.in/Scripts/BS_ViewMasCirculardetails.aspx?id=12278" TargetMode="External"/><Relationship Id="rId21" Type="http://schemas.openxmlformats.org/officeDocument/2006/relationships/hyperlink" Target="https://rbidocs.rbi.org.in/rdocs/content/pdfs/GazetteRules23082022.pdf" TargetMode="External"/><Relationship Id="rId34" Type="http://schemas.openxmlformats.org/officeDocument/2006/relationships/hyperlink" Target="https://rbi.org.in/Scripts/BS_ViewMasDirections.aspx?id=11510" TargetMode="External"/><Relationship Id="rId42" Type="http://schemas.openxmlformats.org/officeDocument/2006/relationships/hyperlink" Target="https://www.rbi.org.in/scripts/FS_Notification.aspx?Id=12401&amp;fn=2&amp;Mode=0" TargetMode="External"/><Relationship Id="rId47" Type="http://schemas.openxmlformats.org/officeDocument/2006/relationships/hyperlink" Target="https://www.rbi.org.in/Scripts/NotificationUser.aspx?Id=12302&amp;Mode=0" TargetMode="External"/><Relationship Id="rId50" Type="http://schemas.openxmlformats.org/officeDocument/2006/relationships/hyperlink" Target="https://www.rbi.org.in/scripts/NotificationUser.aspx?Id=12412&amp;Mode=0" TargetMode="External"/><Relationship Id="rId55" Type="http://schemas.openxmlformats.org/officeDocument/2006/relationships/hyperlink" Target="https://rbi.org.in/Scripts/NotificationUser.aspx?Id=12336&amp;Mode=0" TargetMode="External"/><Relationship Id="rId7" Type="http://schemas.openxmlformats.org/officeDocument/2006/relationships/hyperlink" Target="https://www.rbi.org.in/scripts/NotificationUser.aspx?Id=12361&amp;Mode=0" TargetMode="External"/><Relationship Id="rId2" Type="http://schemas.openxmlformats.org/officeDocument/2006/relationships/numbering" Target="numbering.xml"/><Relationship Id="rId16" Type="http://schemas.openxmlformats.org/officeDocument/2006/relationships/hyperlink" Target="https://m.rbi.org.in/scripts/BS_ViewMasCirculardetails.aspx?id=12367" TargetMode="External"/><Relationship Id="rId29" Type="http://schemas.openxmlformats.org/officeDocument/2006/relationships/hyperlink" Target="https://rbi.org.in/Scripts/BS_CircularIndexDisplay.aspx?Id=12382" TargetMode="External"/><Relationship Id="rId11" Type="http://schemas.openxmlformats.org/officeDocument/2006/relationships/hyperlink" Target="https://rbi.org.in/Scripts/BS_ViewMasDirections.aspx?id=11510" TargetMode="External"/><Relationship Id="rId24" Type="http://schemas.openxmlformats.org/officeDocument/2006/relationships/hyperlink" Target="https://rbi.org.in/Scripts/NotificationUser.aspx?Id=10257&amp;Mode=0" TargetMode="External"/><Relationship Id="rId32" Type="http://schemas.openxmlformats.org/officeDocument/2006/relationships/hyperlink" Target="https://www.rbi.org.in/scripts/NotificationUser.aspx?Id=12384&amp;Mode=0" TargetMode="External"/><Relationship Id="rId37" Type="http://schemas.openxmlformats.org/officeDocument/2006/relationships/hyperlink" Target="https://www.rbi.org.in/Scripts/NotificationUser.aspx?Id=12395&amp;Mode=0" TargetMode="External"/><Relationship Id="rId40" Type="http://schemas.openxmlformats.org/officeDocument/2006/relationships/hyperlink" Target="https://www.rbi.org.in/Scripts/NotificationUser.aspx?Id=12396&amp;Mode=0" TargetMode="External"/><Relationship Id="rId45" Type="http://schemas.openxmlformats.org/officeDocument/2006/relationships/hyperlink" Target="https://www.rbi.org.in/Scripts/BS_ViewMasDirections.aspx?id=12131" TargetMode="External"/><Relationship Id="rId53" Type="http://schemas.openxmlformats.org/officeDocument/2006/relationships/hyperlink" Target="https://m.rbi.org.in/scripts/BS_CircularIndexDisplay.aspx?Id=12425"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rbidocs.rbi.org.in/rdocs/content/pdfs/GazetteRules23082022.pdf" TargetMode="External"/><Relationship Id="rId4" Type="http://schemas.openxmlformats.org/officeDocument/2006/relationships/settings" Target="settings.xml"/><Relationship Id="rId9" Type="http://schemas.openxmlformats.org/officeDocument/2006/relationships/hyperlink" Target="https://www.rbi.org.in/scripts/NotificationUser.aspx?Id=12365&amp;Mode=0" TargetMode="External"/><Relationship Id="rId14" Type="http://schemas.openxmlformats.org/officeDocument/2006/relationships/hyperlink" Target="https://www.rbi.org.in/Scripts/NotificationUser.aspx?Id=12366&amp;Mode=0" TargetMode="External"/><Relationship Id="rId22" Type="http://schemas.openxmlformats.org/officeDocument/2006/relationships/hyperlink" Target="https://rbi.org.in/Scripts/NotificationUser.aspx?Id=12380&amp;Mode=0" TargetMode="External"/><Relationship Id="rId27" Type="http://schemas.openxmlformats.org/officeDocument/2006/relationships/hyperlink" Target="https://rbi.org.in/Scripts/BS_CircularIndexDisplay.aspx?Id=12382" TargetMode="External"/><Relationship Id="rId30" Type="http://schemas.openxmlformats.org/officeDocument/2006/relationships/hyperlink" Target="https://www.rbi.org.in/Scripts/BS_ViewMasCirculardetails.aspx?id=12278" TargetMode="External"/><Relationship Id="rId35" Type="http://schemas.openxmlformats.org/officeDocument/2006/relationships/hyperlink" Target="https://www.rbi.org.in/scripts/NotificationUser.aspx?Id=12393&amp;Mode=0" TargetMode="External"/><Relationship Id="rId43" Type="http://schemas.openxmlformats.org/officeDocument/2006/relationships/hyperlink" Target="https://www.rbi.org.in/scripts/FS_Notification.aspx?Id=12401&amp;fn=2&amp;Mode=0" TargetMode="External"/><Relationship Id="rId48" Type="http://schemas.openxmlformats.org/officeDocument/2006/relationships/hyperlink" Target="https://www.rbi.org.in/scripts/NotificationUser.aspx?Id=12411&amp;Mode=0" TargetMode="External"/><Relationship Id="rId56" Type="http://schemas.openxmlformats.org/officeDocument/2006/relationships/hyperlink" Target="https://www.rbi.org.in/Scripts/BS_CircularIndexDisplay.aspx?Id=12432" TargetMode="External"/><Relationship Id="rId8" Type="http://schemas.openxmlformats.org/officeDocument/2006/relationships/hyperlink" Target="https://www.rbi.org.in/scripts/FS_Notification.aspx?Id=12377&amp;fn=5&amp;Mode=0" TargetMode="External"/><Relationship Id="rId51" Type="http://schemas.openxmlformats.org/officeDocument/2006/relationships/hyperlink" Target="https://www.rbi.org.in/scripts/NotificationUser.aspx?Id=12412&amp;Mode=0" TargetMode="External"/><Relationship Id="rId3" Type="http://schemas.openxmlformats.org/officeDocument/2006/relationships/styles" Target="styles.xml"/><Relationship Id="rId12" Type="http://schemas.openxmlformats.org/officeDocument/2006/relationships/hyperlink" Target="https://www.rbi.org.in/Scripts/BS_PressReleaseDisplay.aspx?prid=53979" TargetMode="External"/><Relationship Id="rId17" Type="http://schemas.openxmlformats.org/officeDocument/2006/relationships/hyperlink" Target="https://rbidocs.rbi.org.in/rdocs/content/pdfs/GazetteRegulations230822.pdf" TargetMode="External"/><Relationship Id="rId25" Type="http://schemas.openxmlformats.org/officeDocument/2006/relationships/hyperlink" Target="https://www.rbi.org.in/scripts/NotificationUser.aspx?Id=12381&amp;Mode=0" TargetMode="External"/><Relationship Id="rId33" Type="http://schemas.openxmlformats.org/officeDocument/2006/relationships/hyperlink" Target="https://www.rbi.org.in/Scripts/BS_ViewMasDirections.aspx?id=10202" TargetMode="External"/><Relationship Id="rId38" Type="http://schemas.openxmlformats.org/officeDocument/2006/relationships/hyperlink" Target="https://www.rbi.org.in/Scripts/NotificationUser.aspx?Id=12395&amp;Mode=0" TargetMode="External"/><Relationship Id="rId46" Type="http://schemas.openxmlformats.org/officeDocument/2006/relationships/hyperlink" Target="https://www.rbi.org.in/scripts/FS_Notification.aspx?Id=12403&amp;fn=2&amp;Mode=0" TargetMode="External"/><Relationship Id="rId20" Type="http://schemas.openxmlformats.org/officeDocument/2006/relationships/hyperlink" Target="https://www.rbi.org.in/scripts/NotificationUser.aspx?Id=12380&amp;Mode=0" TargetMode="External"/><Relationship Id="rId41" Type="http://schemas.openxmlformats.org/officeDocument/2006/relationships/hyperlink" Target="https://www.rbi.org.in/Scripts/BS_ViewMasDirections.aspx?id=12158" TargetMode="External"/><Relationship Id="rId54" Type="http://schemas.openxmlformats.org/officeDocument/2006/relationships/hyperlink" Target="https://rbi.org.in/Scripts/NotificationUser.aspx?Id=12416&amp;Mode=0" TargetMode="External"/><Relationship Id="rId1" Type="http://schemas.openxmlformats.org/officeDocument/2006/relationships/customXml" Target="../customXml/item1.xml"/><Relationship Id="rId6" Type="http://schemas.openxmlformats.org/officeDocument/2006/relationships/hyperlink" Target="https://www.rbi.org.in/Scripts/BS_ViewMasCirculardetails.aspx?id=12288" TargetMode="External"/><Relationship Id="rId15" Type="http://schemas.openxmlformats.org/officeDocument/2006/relationships/hyperlink" Target="https://m.rbi.org.in/scripts/BS_ViewMasCirculardetails.aspx?id=12367" TargetMode="External"/><Relationship Id="rId23" Type="http://schemas.openxmlformats.org/officeDocument/2006/relationships/hyperlink" Target="https://rbi.org.in/Scripts/NotificationUser.aspx?Id=2126&amp;Mode=0" TargetMode="External"/><Relationship Id="rId28" Type="http://schemas.openxmlformats.org/officeDocument/2006/relationships/hyperlink" Target="https://rbi.org.in/Scripts/BS_CircularIndexDisplay.aspx?Id=12382" TargetMode="External"/><Relationship Id="rId36" Type="http://schemas.openxmlformats.org/officeDocument/2006/relationships/hyperlink" Target="https://rbi.org.in/Scripts/BS_PressReleaseDisplay.aspx?prid=54149" TargetMode="External"/><Relationship Id="rId49" Type="http://schemas.openxmlformats.org/officeDocument/2006/relationships/hyperlink" Target="https://www.rbi.org.in/Scripts/BS_ViewMasDirections.aspx?id=10598" TargetMode="External"/><Relationship Id="rId57" Type="http://schemas.openxmlformats.org/officeDocument/2006/relationships/fontTable" Target="fontTable.xml"/><Relationship Id="rId10" Type="http://schemas.openxmlformats.org/officeDocument/2006/relationships/hyperlink" Target="https://www.rbi.org.in/scripts/NotificationUser.aspx?Id=12365&amp;Mode=0" TargetMode="External"/><Relationship Id="rId31" Type="http://schemas.openxmlformats.org/officeDocument/2006/relationships/hyperlink" Target="https://www.rbi.org.in/Scripts/BS_ViewMasCirculardetails.aspx?id=12278" TargetMode="External"/><Relationship Id="rId44" Type="http://schemas.openxmlformats.org/officeDocument/2006/relationships/hyperlink" Target="https://www.rbi.org.in/scripts/FS_Notification.aspx?Id=12401&amp;fn=2&amp;Mode=0" TargetMode="External"/><Relationship Id="rId52" Type="http://schemas.openxmlformats.org/officeDocument/2006/relationships/hyperlink" Target="https://m.rbi.org.in/Scripts/NotificationUser.aspx?Id=8968&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47C59-671A-4828-8CD8-A9E97BE60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6110</Words>
  <Characters>34832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Srija Sarkar</dc:creator>
  <cp:keywords/>
  <dc:description/>
  <cp:lastModifiedBy>soumya P</cp:lastModifiedBy>
  <cp:revision>3</cp:revision>
  <dcterms:created xsi:type="dcterms:W3CDTF">2023-03-01T05:04:00Z</dcterms:created>
  <dcterms:modified xsi:type="dcterms:W3CDTF">2023-03-01T05:35:00Z</dcterms:modified>
</cp:coreProperties>
</file>